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1" w:type="dxa"/>
        <w:tblLayout w:type="fixed"/>
        <w:tblCellMar>
          <w:left w:w="71" w:type="dxa"/>
          <w:right w:w="71" w:type="dxa"/>
        </w:tblCellMar>
        <w:tblLook w:val="0000" w:firstRow="0" w:lastRow="0" w:firstColumn="0" w:lastColumn="0" w:noHBand="0" w:noVBand="0"/>
      </w:tblPr>
      <w:tblGrid>
        <w:gridCol w:w="496"/>
        <w:gridCol w:w="4733"/>
        <w:gridCol w:w="5261"/>
      </w:tblGrid>
      <w:tr w:rsidR="007E127B" w:rsidRPr="00792041" w:rsidTr="00772B21">
        <w:tc>
          <w:tcPr>
            <w:tcW w:w="496" w:type="dxa"/>
          </w:tcPr>
          <w:p w:rsidR="007E127B" w:rsidRPr="00792041" w:rsidRDefault="007E127B" w:rsidP="00772B21">
            <w:pPr>
              <w:jc w:val="both"/>
              <w:rPr>
                <w:rFonts w:ascii="Times New Roman" w:hAnsi="Times New Roman"/>
                <w:b/>
                <w:sz w:val="16"/>
                <w:szCs w:val="16"/>
              </w:rPr>
            </w:pPr>
            <w:r w:rsidRPr="00792041">
              <w:rPr>
                <w:rFonts w:ascii="Times New Roman" w:hAnsi="Times New Roman"/>
                <w:b/>
                <w:sz w:val="16"/>
                <w:szCs w:val="16"/>
              </w:rPr>
              <w:t>1.</w:t>
            </w:r>
          </w:p>
        </w:tc>
        <w:tc>
          <w:tcPr>
            <w:tcW w:w="9994" w:type="dxa"/>
            <w:gridSpan w:val="2"/>
          </w:tcPr>
          <w:p w:rsidR="007E127B" w:rsidRPr="006C1757" w:rsidRDefault="007E127B" w:rsidP="004047E0">
            <w:pPr>
              <w:jc w:val="both"/>
              <w:rPr>
                <w:rFonts w:ascii="Times New Roman" w:hAnsi="Times New Roman"/>
                <w:b/>
                <w:sz w:val="16"/>
                <w:szCs w:val="16"/>
              </w:rPr>
            </w:pPr>
            <w:r w:rsidRPr="006C1757">
              <w:rPr>
                <w:rFonts w:ascii="Times New Roman" w:hAnsi="Times New Roman"/>
                <w:b/>
                <w:sz w:val="16"/>
                <w:szCs w:val="16"/>
              </w:rPr>
              <w:t>Identifizierung des Arzneimittels</w:t>
            </w:r>
          </w:p>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a) Bezeichnung</w:t>
            </w:r>
          </w:p>
          <w:p w:rsidR="007E127B" w:rsidRPr="006C1757" w:rsidRDefault="007E127B" w:rsidP="004047E0">
            <w:pPr>
              <w:jc w:val="both"/>
              <w:rPr>
                <w:rFonts w:ascii="Times New Roman" w:hAnsi="Times New Roman"/>
                <w:sz w:val="16"/>
                <w:szCs w:val="16"/>
              </w:rPr>
            </w:pPr>
            <w:r w:rsidRPr="006C1757">
              <w:rPr>
                <w:rFonts w:ascii="Times New Roman" w:hAnsi="Times New Roman"/>
                <w:sz w:val="16"/>
                <w:szCs w:val="16"/>
              </w:rPr>
              <w:t>Gefrorenes Frischplasma U-FR</w:t>
            </w:r>
            <w:r w:rsidRPr="006C1757">
              <w:rPr>
                <w:rFonts w:ascii="Times New Roman" w:hAnsi="Times New Roman"/>
                <w:sz w:val="16"/>
                <w:szCs w:val="16"/>
              </w:rPr>
              <w:tab/>
            </w:r>
          </w:p>
        </w:tc>
      </w:tr>
      <w:tr w:rsidR="007E127B" w:rsidRPr="00792041" w:rsidTr="00772B21">
        <w:tc>
          <w:tcPr>
            <w:tcW w:w="496" w:type="dxa"/>
          </w:tcPr>
          <w:p w:rsidR="007E127B" w:rsidRPr="00792041" w:rsidRDefault="007E127B" w:rsidP="00772B21">
            <w:pPr>
              <w:jc w:val="both"/>
              <w:rPr>
                <w:rFonts w:ascii="Times New Roman" w:hAnsi="Times New Roman"/>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 xml:space="preserve">b) Stoffgruppe </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plasmatische Blutzubereitung</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r w:rsidRPr="00792041">
              <w:rPr>
                <w:rFonts w:ascii="Times New Roman" w:hAnsi="Times New Roman"/>
                <w:b/>
                <w:sz w:val="16"/>
                <w:szCs w:val="16"/>
              </w:rPr>
              <w:t>2.</w:t>
            </w: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Anwendungsgebiete</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Notfallsubstitution einer klinisch relevanten Blutungsneigung oder einer manifesten Blutung bei komplexen Störungen des Hämostasesystems, b</w:t>
            </w:r>
            <w:r w:rsidRPr="006C1757">
              <w:rPr>
                <w:rFonts w:ascii="Times New Roman" w:hAnsi="Times New Roman"/>
                <w:sz w:val="16"/>
                <w:szCs w:val="16"/>
              </w:rPr>
              <w:t>e</w:t>
            </w:r>
            <w:r w:rsidRPr="006C1757">
              <w:rPr>
                <w:rFonts w:ascii="Times New Roman" w:hAnsi="Times New Roman"/>
                <w:sz w:val="16"/>
                <w:szCs w:val="16"/>
              </w:rPr>
              <w:t>sonders bei schwerem Leberparenchymschaden oder im Rahmen einer disseminierten intravasalen Gerinnung (DIC). In jedem Fall hat die Behan</w:t>
            </w:r>
            <w:r w:rsidRPr="006C1757">
              <w:rPr>
                <w:rFonts w:ascii="Times New Roman" w:hAnsi="Times New Roman"/>
                <w:sz w:val="16"/>
                <w:szCs w:val="16"/>
              </w:rPr>
              <w:t>d</w:t>
            </w:r>
            <w:r w:rsidRPr="006C1757">
              <w:rPr>
                <w:rFonts w:ascii="Times New Roman" w:hAnsi="Times New Roman"/>
                <w:sz w:val="16"/>
                <w:szCs w:val="16"/>
              </w:rPr>
              <w:t>lung der ursächlichen Krankheit Priorität. Da eine DIC immer eine Komplikation einer schweren Grunderkrankung (z.B. Sepsis, Schock, Polytra</w:t>
            </w:r>
            <w:r w:rsidRPr="006C1757">
              <w:rPr>
                <w:rFonts w:ascii="Times New Roman" w:hAnsi="Times New Roman"/>
                <w:sz w:val="16"/>
                <w:szCs w:val="16"/>
              </w:rPr>
              <w:t>u</w:t>
            </w:r>
            <w:r w:rsidRPr="006C1757">
              <w:rPr>
                <w:rFonts w:ascii="Times New Roman" w:hAnsi="Times New Roman"/>
                <w:sz w:val="16"/>
                <w:szCs w:val="16"/>
              </w:rPr>
              <w:t>ma) darstellt, sollte GFP nicht ohne Behandlung der zugrunde liegenden Pathomechanismen verabreicht werden.</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Verdünnungs- und/oder Verlustkoagulopathien</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Substitution bei Faktor V – und / oder Faktor XI - Mangel</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Thrombotisch-thrombozytopenische Purpura</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Austauschtransfusion</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 xml:space="preserve">Eine Gabe von GFP ist </w:t>
            </w:r>
            <w:r w:rsidRPr="006C1757">
              <w:rPr>
                <w:rFonts w:ascii="Times New Roman" w:hAnsi="Times New Roman"/>
                <w:sz w:val="16"/>
                <w:szCs w:val="16"/>
                <w:u w:val="single"/>
              </w:rPr>
              <w:t>nicht</w:t>
            </w:r>
            <w:r w:rsidRPr="006C1757">
              <w:rPr>
                <w:rFonts w:ascii="Times New Roman" w:hAnsi="Times New Roman"/>
                <w:sz w:val="16"/>
                <w:szCs w:val="16"/>
              </w:rPr>
              <w:t xml:space="preserve"> angezeigt als Volumen-, Eiweiß- und Albuminersatz, zur Immunglobulinsubstitution und zur parenteralen Ernährung</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r w:rsidRPr="00792041">
              <w:rPr>
                <w:rFonts w:ascii="Times New Roman" w:hAnsi="Times New Roman"/>
                <w:b/>
                <w:sz w:val="16"/>
                <w:szCs w:val="16"/>
              </w:rPr>
              <w:t>3.</w:t>
            </w:r>
          </w:p>
        </w:tc>
        <w:tc>
          <w:tcPr>
            <w:tcW w:w="9994" w:type="dxa"/>
            <w:gridSpan w:val="2"/>
          </w:tcPr>
          <w:p w:rsidR="007E127B" w:rsidRPr="006C1757" w:rsidRDefault="007E127B" w:rsidP="004047E0">
            <w:pPr>
              <w:jc w:val="both"/>
              <w:rPr>
                <w:rFonts w:ascii="Times New Roman" w:hAnsi="Times New Roman"/>
                <w:b/>
                <w:sz w:val="16"/>
                <w:szCs w:val="16"/>
              </w:rPr>
            </w:pPr>
            <w:r w:rsidRPr="006C1757">
              <w:rPr>
                <w:rFonts w:ascii="Times New Roman" w:hAnsi="Times New Roman"/>
                <w:b/>
                <w:sz w:val="16"/>
                <w:szCs w:val="16"/>
              </w:rPr>
              <w:t>Informationen zur Anwendung</w:t>
            </w:r>
          </w:p>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a) Gegenanzeigen</w:t>
            </w:r>
          </w:p>
          <w:p w:rsidR="007E127B" w:rsidRPr="006C1757" w:rsidRDefault="007E127B" w:rsidP="004047E0">
            <w:pPr>
              <w:jc w:val="both"/>
              <w:rPr>
                <w:rFonts w:ascii="Times New Roman" w:hAnsi="Times New Roman"/>
                <w:sz w:val="16"/>
                <w:szCs w:val="16"/>
              </w:rPr>
            </w:pPr>
            <w:r w:rsidRPr="006C1757">
              <w:rPr>
                <w:rFonts w:ascii="Times New Roman" w:hAnsi="Times New Roman"/>
                <w:sz w:val="16"/>
                <w:szCs w:val="16"/>
              </w:rPr>
              <w:t>Absolut:</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Plasmaeiweiß-Unverträglichkeit</w:t>
            </w:r>
          </w:p>
          <w:p w:rsidR="007E127B" w:rsidRPr="006C1757" w:rsidRDefault="007E127B" w:rsidP="004047E0">
            <w:pPr>
              <w:jc w:val="both"/>
              <w:rPr>
                <w:rFonts w:ascii="Times New Roman" w:hAnsi="Times New Roman"/>
                <w:sz w:val="16"/>
                <w:szCs w:val="16"/>
              </w:rPr>
            </w:pPr>
            <w:r w:rsidRPr="006C1757">
              <w:rPr>
                <w:rFonts w:ascii="Times New Roman" w:hAnsi="Times New Roman"/>
                <w:sz w:val="16"/>
                <w:szCs w:val="16"/>
              </w:rPr>
              <w:t>Relativ:</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Kardiale Dekompensation, Hypervolämie, Hyperhydratation, Lungenödem</w:t>
            </w:r>
          </w:p>
          <w:p w:rsidR="007E127B" w:rsidRPr="006C1757" w:rsidRDefault="007E127B" w:rsidP="007E127B">
            <w:pPr>
              <w:numPr>
                <w:ilvl w:val="0"/>
                <w:numId w:val="6"/>
              </w:numPr>
              <w:jc w:val="both"/>
              <w:rPr>
                <w:rFonts w:ascii="Times New Roman" w:hAnsi="Times New Roman"/>
                <w:b/>
                <w:sz w:val="16"/>
                <w:szCs w:val="16"/>
              </w:rPr>
            </w:pPr>
            <w:r w:rsidRPr="006C1757">
              <w:rPr>
                <w:rFonts w:ascii="Times New Roman" w:hAnsi="Times New Roman"/>
                <w:sz w:val="16"/>
                <w:szCs w:val="16"/>
              </w:rPr>
              <w:t>nachgewiesener IgA-Mangel</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b) Vorsichtsmaßnahmen für die Anwendung</w:t>
            </w:r>
          </w:p>
          <w:p w:rsidR="007E127B" w:rsidRPr="006C1757" w:rsidRDefault="007E127B" w:rsidP="004047E0">
            <w:pPr>
              <w:jc w:val="both"/>
              <w:rPr>
                <w:rFonts w:ascii="Times New Roman" w:hAnsi="Times New Roman"/>
                <w:sz w:val="16"/>
                <w:szCs w:val="16"/>
              </w:rPr>
            </w:pPr>
            <w:r w:rsidRPr="006C1757">
              <w:rPr>
                <w:rFonts w:ascii="Times New Roman" w:hAnsi="Times New Roman"/>
                <w:sz w:val="16"/>
                <w:szCs w:val="16"/>
              </w:rPr>
              <w:t>Plasma wird AB0-gleich über ein Transfusionsgerät mit Standardfi</w:t>
            </w:r>
            <w:r w:rsidR="00747B23">
              <w:rPr>
                <w:rFonts w:ascii="Times New Roman" w:hAnsi="Times New Roman"/>
                <w:sz w:val="16"/>
                <w:szCs w:val="16"/>
              </w:rPr>
              <w:t>lter der Porengröße 170 bis 230</w:t>
            </w:r>
            <w:r w:rsidR="00747B23" w:rsidRPr="00DD040B">
              <w:rPr>
                <w:rFonts w:ascii="Times New Roman" w:hAnsi="Times New Roman"/>
                <w:sz w:val="16"/>
                <w:szCs w:val="16"/>
              </w:rPr>
              <w:t> </w:t>
            </w:r>
            <w:r w:rsidRPr="006C1757">
              <w:rPr>
                <w:rFonts w:ascii="Times New Roman" w:hAnsi="Times New Roman"/>
                <w:sz w:val="16"/>
                <w:szCs w:val="16"/>
              </w:rPr>
              <w:t>µm transfundiert. In Ausnahmefällen können auch AB0-kompatible Plasmen (s. Querschnitts-Leitlinien) transfundiert werden. Es sollte in der Regel schnell infundiert werden, dem Zustand des Patienten entsprechend ist der Kreislauf zu ko</w:t>
            </w:r>
            <w:r w:rsidR="00747B23">
              <w:rPr>
                <w:rFonts w:ascii="Times New Roman" w:hAnsi="Times New Roman"/>
                <w:sz w:val="16"/>
                <w:szCs w:val="16"/>
              </w:rPr>
              <w:t>ntrollieren. Werden mehr als 50</w:t>
            </w:r>
            <w:r w:rsidR="00747B23" w:rsidRPr="00DD040B">
              <w:rPr>
                <w:rFonts w:ascii="Times New Roman" w:hAnsi="Times New Roman"/>
                <w:sz w:val="16"/>
                <w:szCs w:val="16"/>
              </w:rPr>
              <w:t> </w:t>
            </w:r>
            <w:r w:rsidRPr="006C1757">
              <w:rPr>
                <w:rFonts w:ascii="Times New Roman" w:hAnsi="Times New Roman"/>
                <w:sz w:val="16"/>
                <w:szCs w:val="16"/>
              </w:rPr>
              <w:t>ml/min beim Erwachsenen appliziert, ist eine zusätzliche Gabe von Kalzium erfo</w:t>
            </w:r>
            <w:r w:rsidRPr="006C1757">
              <w:rPr>
                <w:rFonts w:ascii="Times New Roman" w:hAnsi="Times New Roman"/>
                <w:sz w:val="16"/>
                <w:szCs w:val="16"/>
              </w:rPr>
              <w:t>r</w:t>
            </w:r>
            <w:r w:rsidRPr="006C1757">
              <w:rPr>
                <w:rFonts w:ascii="Times New Roman" w:hAnsi="Times New Roman"/>
                <w:sz w:val="16"/>
                <w:szCs w:val="16"/>
              </w:rPr>
              <w:t>derlich.</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Bei neonataler Transfusion sollte sorgfältig auf Anzeichen einer Zitratintoxikation geachtet und die Transfusionsgeschwindigkeit dem klinischen Zustand angepasst werden.</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c) Wechselwirkungen mit anderen Arzneimitteln, soweit sie die Wirkungsweise des Arzneimittels beeinflussen können und Hauptinkompatibil</w:t>
            </w:r>
            <w:r w:rsidRPr="006C1757">
              <w:rPr>
                <w:rFonts w:ascii="Times New Roman" w:hAnsi="Times New Roman"/>
                <w:b/>
                <w:sz w:val="16"/>
                <w:szCs w:val="16"/>
              </w:rPr>
              <w:t>i</w:t>
            </w:r>
            <w:r w:rsidRPr="006C1757">
              <w:rPr>
                <w:rFonts w:ascii="Times New Roman" w:hAnsi="Times New Roman"/>
                <w:b/>
                <w:sz w:val="16"/>
                <w:szCs w:val="16"/>
              </w:rPr>
              <w:t>täten</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Wechselwirkungen mit anderen Mitteln sind nicht bekannt. Wegen der möglichen Aktivierung der Gerinnungsfaktoren dürfen kalziumhaltige Lösungen nicht gleichzeitig in demselben Schlauchsystem appliziert werden. Die Beimisc</w:t>
            </w:r>
            <w:r>
              <w:rPr>
                <w:rFonts w:ascii="Times New Roman" w:hAnsi="Times New Roman"/>
                <w:sz w:val="16"/>
                <w:szCs w:val="16"/>
              </w:rPr>
              <w:t>hung von Medika</w:t>
            </w:r>
            <w:r w:rsidRPr="006C1757">
              <w:rPr>
                <w:rFonts w:ascii="Times New Roman" w:hAnsi="Times New Roman"/>
                <w:sz w:val="16"/>
                <w:szCs w:val="16"/>
              </w:rPr>
              <w:t>menten zum Plasma ist nicht zulässig.</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u w:val="single"/>
              </w:rPr>
            </w:pPr>
            <w:r w:rsidRPr="006C1757">
              <w:rPr>
                <w:rFonts w:ascii="Times New Roman" w:hAnsi="Times New Roman"/>
                <w:b/>
                <w:sz w:val="16"/>
                <w:szCs w:val="16"/>
              </w:rPr>
              <w:t>d) Verwendung für besondere Personengruppen</w:t>
            </w:r>
          </w:p>
          <w:p w:rsidR="007E127B" w:rsidRPr="006C1757" w:rsidRDefault="007E127B" w:rsidP="004047E0">
            <w:pPr>
              <w:jc w:val="both"/>
              <w:rPr>
                <w:rFonts w:ascii="Times New Roman" w:hAnsi="Times New Roman"/>
                <w:sz w:val="16"/>
                <w:szCs w:val="16"/>
                <w:u w:val="single"/>
              </w:rPr>
            </w:pPr>
            <w:r w:rsidRPr="006C1757">
              <w:rPr>
                <w:rFonts w:ascii="Times New Roman" w:hAnsi="Times New Roman"/>
                <w:sz w:val="16"/>
                <w:szCs w:val="16"/>
                <w:u w:val="single"/>
              </w:rPr>
              <w:t>Schwangerschaft und Stillzeit:</w:t>
            </w:r>
            <w:r w:rsidRPr="006C1757">
              <w:rPr>
                <w:rFonts w:ascii="Times New Roman" w:hAnsi="Times New Roman"/>
                <w:sz w:val="16"/>
                <w:szCs w:val="16"/>
              </w:rPr>
              <w:t xml:space="preserve"> Bei bestimmungsgemäßem Gebrauch bestehen keine Einwände.</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u w:val="single"/>
              </w:rPr>
              <w:t xml:space="preserve">Auswirkung auf Kraftfahrer und die Bedienung von Maschinen: </w:t>
            </w:r>
            <w:r w:rsidRPr="006C1757">
              <w:rPr>
                <w:rFonts w:ascii="Times New Roman" w:hAnsi="Times New Roman"/>
                <w:sz w:val="16"/>
                <w:szCs w:val="16"/>
              </w:rPr>
              <w:t>Nach der Transfusion von Plasma sollte eine Ruhepause von mindestens 1/2 Stunde ei</w:t>
            </w:r>
            <w:r w:rsidRPr="006C1757">
              <w:rPr>
                <w:rFonts w:ascii="Times New Roman" w:hAnsi="Times New Roman"/>
                <w:sz w:val="16"/>
                <w:szCs w:val="16"/>
              </w:rPr>
              <w:t>n</w:t>
            </w:r>
            <w:r w:rsidRPr="006C1757">
              <w:rPr>
                <w:rFonts w:ascii="Times New Roman" w:hAnsi="Times New Roman"/>
                <w:sz w:val="16"/>
                <w:szCs w:val="16"/>
              </w:rPr>
              <w:t>gehalten werden.</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e) Warnhinweise</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sind nicht angeordnet.</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r w:rsidRPr="00792041">
              <w:rPr>
                <w:rFonts w:ascii="Times New Roman" w:hAnsi="Times New Roman"/>
                <w:b/>
                <w:sz w:val="16"/>
                <w:szCs w:val="16"/>
              </w:rPr>
              <w:t>4.</w:t>
            </w:r>
          </w:p>
        </w:tc>
        <w:tc>
          <w:tcPr>
            <w:tcW w:w="9994" w:type="dxa"/>
            <w:gridSpan w:val="2"/>
          </w:tcPr>
          <w:p w:rsidR="007E127B" w:rsidRPr="006C1757" w:rsidRDefault="007E127B" w:rsidP="004047E0">
            <w:pPr>
              <w:jc w:val="both"/>
              <w:rPr>
                <w:rFonts w:ascii="Times New Roman" w:hAnsi="Times New Roman"/>
                <w:b/>
                <w:sz w:val="16"/>
                <w:szCs w:val="16"/>
              </w:rPr>
            </w:pPr>
            <w:r w:rsidRPr="006C1757">
              <w:rPr>
                <w:rFonts w:ascii="Times New Roman" w:hAnsi="Times New Roman"/>
                <w:b/>
                <w:sz w:val="16"/>
                <w:szCs w:val="16"/>
              </w:rPr>
              <w:t>Hinweise zur ordnungsgemäßen Anwendung</w:t>
            </w:r>
          </w:p>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a) Dosierung</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Die Dosierung richtet sich nach dem klinischen Bild und dem Ergebnis von Blutgerinnungsuntersuchungen. Zur Orientierung hinsichtlich der initial</w:t>
            </w:r>
            <w:r w:rsidR="00747B23">
              <w:rPr>
                <w:rFonts w:ascii="Times New Roman" w:hAnsi="Times New Roman"/>
                <w:sz w:val="16"/>
                <w:szCs w:val="16"/>
              </w:rPr>
              <w:t>en Dosis gilt die Faustregel: 1</w:t>
            </w:r>
            <w:r w:rsidR="00747B23" w:rsidRPr="00DD040B">
              <w:rPr>
                <w:rFonts w:ascii="Times New Roman" w:hAnsi="Times New Roman"/>
                <w:sz w:val="16"/>
                <w:szCs w:val="16"/>
              </w:rPr>
              <w:t> </w:t>
            </w:r>
            <w:r w:rsidRPr="006C1757">
              <w:rPr>
                <w:rFonts w:ascii="Times New Roman" w:hAnsi="Times New Roman"/>
                <w:sz w:val="16"/>
                <w:szCs w:val="16"/>
              </w:rPr>
              <w:t>ml Plasma/kg Körpergewicht erhöht</w:t>
            </w:r>
            <w:r w:rsidR="00747B23">
              <w:rPr>
                <w:rFonts w:ascii="Times New Roman" w:hAnsi="Times New Roman"/>
                <w:sz w:val="16"/>
                <w:szCs w:val="16"/>
              </w:rPr>
              <w:t xml:space="preserve"> den Faktorengehalt um bis zu 1</w:t>
            </w:r>
            <w:r w:rsidR="00747B23" w:rsidRPr="00DD040B">
              <w:rPr>
                <w:rFonts w:ascii="Times New Roman" w:hAnsi="Times New Roman"/>
                <w:sz w:val="16"/>
                <w:szCs w:val="16"/>
              </w:rPr>
              <w:t> </w:t>
            </w:r>
            <w:r w:rsidRPr="006C1757">
              <w:rPr>
                <w:rFonts w:ascii="Times New Roman" w:hAnsi="Times New Roman"/>
                <w:sz w:val="16"/>
                <w:szCs w:val="16"/>
              </w:rPr>
              <w:t>%. Um eine hämostyptische Wirkung zu erreichen, sind beim Erwachsenen initial mindestens 3 bis 4 Einheiten Plasma erforderlich.</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b) Art der Anwendung</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 xml:space="preserve">zur i. v. Infusion nach Auftauen </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c) Häufigkeit der Verabreichung</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nach Indikationsstellung</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d) Dauer der Behandlung</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 xml:space="preserve">nach Indikationsstellung </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e) Überdosierung</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Bei hoher Dosis besteht die Gefahr einer Kreislaufüberlastung.</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f) Notfallmaßnahmen</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Treten Unverträglichkeiten auf, so ist die Transfusion unverzüglich abzubrechen, der Venenzugang jedoch offen zu halten und eine Behandlung, der Schwere der Symptome gemäß, nach den aktuellen Regeln der Notfalltherapie einzuleiten. Bei Hypervolämie kann eine Volumenreduktion angezeigt sein.</w:t>
            </w:r>
          </w:p>
        </w:tc>
      </w:tr>
      <w:tr w:rsidR="007E127B" w:rsidRPr="00A83F36" w:rsidTr="00772B21">
        <w:tc>
          <w:tcPr>
            <w:tcW w:w="496" w:type="dxa"/>
          </w:tcPr>
          <w:p w:rsidR="007E127B" w:rsidRPr="00A83F36" w:rsidRDefault="007E127B" w:rsidP="00772B21">
            <w:pPr>
              <w:jc w:val="both"/>
              <w:rPr>
                <w:rFonts w:ascii="Times New Roman" w:hAnsi="Times New Roman"/>
                <w:b/>
                <w:color w:val="000000" w:themeColor="text1"/>
                <w:sz w:val="16"/>
                <w:szCs w:val="16"/>
              </w:rPr>
            </w:pPr>
            <w:r w:rsidRPr="00A83F36">
              <w:rPr>
                <w:rFonts w:ascii="Times New Roman" w:hAnsi="Times New Roman"/>
                <w:b/>
                <w:color w:val="000000" w:themeColor="text1"/>
                <w:sz w:val="16"/>
                <w:szCs w:val="16"/>
              </w:rPr>
              <w:t>5.</w:t>
            </w:r>
          </w:p>
        </w:tc>
        <w:tc>
          <w:tcPr>
            <w:tcW w:w="9994" w:type="dxa"/>
            <w:gridSpan w:val="2"/>
          </w:tcPr>
          <w:p w:rsidR="007E127B" w:rsidRPr="006C1757" w:rsidRDefault="007E127B" w:rsidP="004047E0">
            <w:pPr>
              <w:ind w:right="284"/>
              <w:jc w:val="both"/>
              <w:rPr>
                <w:rFonts w:ascii="Times New Roman" w:hAnsi="Times New Roman"/>
                <w:sz w:val="16"/>
                <w:szCs w:val="16"/>
              </w:rPr>
            </w:pPr>
            <w:r w:rsidRPr="006C1757">
              <w:rPr>
                <w:rFonts w:ascii="Times New Roman" w:hAnsi="Times New Roman"/>
                <w:b/>
                <w:sz w:val="16"/>
                <w:szCs w:val="16"/>
              </w:rPr>
              <w:t>Nebenwirkungen</w:t>
            </w:r>
          </w:p>
          <w:p w:rsidR="007E127B" w:rsidRPr="006C1757" w:rsidRDefault="007E127B" w:rsidP="007E127B">
            <w:pPr>
              <w:numPr>
                <w:ilvl w:val="0"/>
                <w:numId w:val="6"/>
              </w:numPr>
              <w:ind w:right="284"/>
              <w:jc w:val="both"/>
              <w:rPr>
                <w:rFonts w:ascii="Times New Roman" w:hAnsi="Times New Roman"/>
                <w:sz w:val="16"/>
                <w:szCs w:val="16"/>
              </w:rPr>
            </w:pPr>
            <w:r w:rsidRPr="006C1757">
              <w:rPr>
                <w:rFonts w:ascii="Times New Roman" w:hAnsi="Times New Roman"/>
                <w:sz w:val="16"/>
                <w:szCs w:val="16"/>
              </w:rPr>
              <w:t>Insbesondere bei hohen Transfusionsgeschwindigkeiten und Transfusionsvolumina kann es zur Volumenüberlastung des Kreislaufs (Hype</w:t>
            </w:r>
            <w:r w:rsidRPr="006C1757">
              <w:rPr>
                <w:rFonts w:ascii="Times New Roman" w:hAnsi="Times New Roman"/>
                <w:sz w:val="16"/>
                <w:szCs w:val="16"/>
              </w:rPr>
              <w:t>r</w:t>
            </w:r>
            <w:r w:rsidRPr="006C1757">
              <w:rPr>
                <w:rFonts w:ascii="Times New Roman" w:hAnsi="Times New Roman"/>
                <w:sz w:val="16"/>
                <w:szCs w:val="16"/>
              </w:rPr>
              <w:t>volämie, transfusionsassoziierte zirkulatorische Überladung) kommen</w:t>
            </w:r>
            <w:r w:rsidRPr="006C1757">
              <w:rPr>
                <w:rFonts w:ascii="Times New Roman" w:hAnsi="Times New Roman"/>
                <w:color w:val="0000FF"/>
                <w:sz w:val="16"/>
                <w:szCs w:val="16"/>
              </w:rPr>
              <w:t xml:space="preserve">, </w:t>
            </w:r>
            <w:r w:rsidRPr="006C1757">
              <w:rPr>
                <w:rFonts w:ascii="Times New Roman" w:hAnsi="Times New Roman"/>
                <w:sz w:val="16"/>
                <w:szCs w:val="16"/>
              </w:rPr>
              <w:t>sie kann insbesondere bei Herzkreislauferkrankungen zu akutem Her</w:t>
            </w:r>
            <w:r w:rsidRPr="006C1757">
              <w:rPr>
                <w:rFonts w:ascii="Times New Roman" w:hAnsi="Times New Roman"/>
                <w:sz w:val="16"/>
                <w:szCs w:val="16"/>
              </w:rPr>
              <w:t>z</w:t>
            </w:r>
            <w:r w:rsidRPr="006C1757">
              <w:rPr>
                <w:rFonts w:ascii="Times New Roman" w:hAnsi="Times New Roman"/>
                <w:sz w:val="16"/>
                <w:szCs w:val="16"/>
              </w:rPr>
              <w:t>versagen mit Lungenödem führen.</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Zitratintoxikationen sind bei schneller Transfusion und bei größeren Volumina insbesondere bei Leberfunktionsstörung, Schock, Azidose, Hyp</w:t>
            </w:r>
            <w:r w:rsidRPr="006C1757">
              <w:rPr>
                <w:rFonts w:ascii="Times New Roman" w:hAnsi="Times New Roman"/>
                <w:sz w:val="16"/>
                <w:szCs w:val="16"/>
              </w:rPr>
              <w:t>o</w:t>
            </w:r>
            <w:r w:rsidRPr="006C1757">
              <w:rPr>
                <w:rFonts w:ascii="Times New Roman" w:hAnsi="Times New Roman"/>
                <w:sz w:val="16"/>
                <w:szCs w:val="16"/>
              </w:rPr>
              <w:t>thermie sowie bei Neugeborenen möglich.</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 xml:space="preserve">Transfusionsassoziierte akute Lungeninsuffizienz (TRALI) </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In seltenen Fällen werden anaphylaktoide Reaktionen beobachtet.</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Eine Bildung von Hemmkörpern gegen Gerinnungsfaktoren ist möglich.</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Das Risiko einer bakteriellen Kontamination lässt sich nicht mit letzter Sicherheit ausschließen.</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Bei der Anwendung von aus menschlichem Blut hergestellten Arzneimitteln ist die Übertragung von Infektionskrankheiten durch Übertragung von Erregern - auch bislang unbekannter Natur - nicht völlig auszuschließen. Dies gilt z.B. für Hepatitiden, seltener für das erworbene Immundefektsy</w:t>
            </w:r>
            <w:r w:rsidRPr="006C1757">
              <w:rPr>
                <w:rFonts w:ascii="Times New Roman" w:hAnsi="Times New Roman"/>
                <w:sz w:val="16"/>
                <w:szCs w:val="16"/>
              </w:rPr>
              <w:t>n</w:t>
            </w:r>
            <w:r w:rsidRPr="006C1757">
              <w:rPr>
                <w:rFonts w:ascii="Times New Roman" w:hAnsi="Times New Roman"/>
                <w:sz w:val="16"/>
                <w:szCs w:val="16"/>
              </w:rPr>
              <w:t>drom (AIDS).</w:t>
            </w:r>
          </w:p>
          <w:p w:rsidR="007E127B" w:rsidRPr="006C1757" w:rsidRDefault="007E127B" w:rsidP="004047E0">
            <w:pPr>
              <w:jc w:val="both"/>
              <w:rPr>
                <w:rFonts w:ascii="Times New Roman" w:hAnsi="Times New Roman"/>
                <w:sz w:val="16"/>
                <w:szCs w:val="16"/>
                <w:u w:val="single"/>
              </w:rPr>
            </w:pPr>
            <w:r w:rsidRPr="006C1757">
              <w:rPr>
                <w:rFonts w:ascii="Times New Roman" w:hAnsi="Times New Roman"/>
                <w:sz w:val="16"/>
                <w:szCs w:val="16"/>
              </w:rPr>
              <w:t>Im Vereinigten Königreich Großbritannien und Nordirland wurde über Einzelfälle berichtet, in denen bei Empfängern von Transfusionen, deren Spender später an der varianten Creutzfeldt-Jakob Krankheit (vCJK) erkrankten, ebenfalls der „Erreger“ (so genannte Prionen) nachgewiesen wurde. Bei der vCJK handelt es sich um eine in Deutschland bislang nicht beobachtete Erkrankung, die durch den Verzehr von bestimmten Nahrungsmitteln aus BSE-kranken Rindern erworben werden kann.</w:t>
            </w:r>
            <w:r w:rsidRPr="006C1757">
              <w:rPr>
                <w:color w:val="993300"/>
                <w:sz w:val="16"/>
                <w:szCs w:val="16"/>
              </w:rPr>
              <w:t xml:space="preserve"> </w:t>
            </w:r>
          </w:p>
          <w:p w:rsidR="007E127B" w:rsidRPr="006C1757" w:rsidRDefault="007E127B" w:rsidP="004047E0">
            <w:pPr>
              <w:jc w:val="both"/>
              <w:rPr>
                <w:rFonts w:ascii="Times New Roman" w:hAnsi="Times New Roman"/>
                <w:sz w:val="16"/>
                <w:szCs w:val="16"/>
              </w:rPr>
            </w:pPr>
            <w:r w:rsidRPr="006C1757">
              <w:rPr>
                <w:rFonts w:ascii="Times New Roman" w:hAnsi="Times New Roman"/>
                <w:sz w:val="16"/>
                <w:szCs w:val="16"/>
                <w:u w:val="single"/>
              </w:rPr>
              <w:t>Meldung des Verdachts auf Nebenwirkungen</w:t>
            </w:r>
          </w:p>
          <w:p w:rsidR="007E127B" w:rsidRPr="006C1757" w:rsidRDefault="007E127B" w:rsidP="004047E0">
            <w:pPr>
              <w:jc w:val="both"/>
              <w:rPr>
                <w:rFonts w:ascii="Times New Roman" w:hAnsi="Times New Roman"/>
                <w:sz w:val="16"/>
                <w:szCs w:val="16"/>
              </w:rPr>
            </w:pPr>
            <w:r w:rsidRPr="006C1757">
              <w:rPr>
                <w:rFonts w:ascii="Times New Roman" w:hAnsi="Times New Roman"/>
                <w:sz w:val="16"/>
                <w:szCs w:val="16"/>
              </w:rPr>
              <w:t xml:space="preserve">Die Meldung des Verdachts auf Nebenwirkungen nach der Zulassung ist von großer Wichtigkeit. Sie ermöglicht eine kontinuierliche Überwachung des Nutzen-Risiko-Verhältnisses des Arzneimittels. Angehörige von Gesundheitsberufen sind aufgefordert, jeden Verdachtsfall einer Nebenwirkung dem Bundesinstitut für Impfstoffe und biomedizinische Arzneimittel, Paul-Ehrlich-Institut, Paul-Ehrlich-Straße 51 – 59, 63225 Langen, Telefon +49 6 10 37 </w:t>
            </w:r>
            <w:r w:rsidRPr="006C1757">
              <w:rPr>
                <w:rFonts w:ascii="Times New Roman" w:hAnsi="Times New Roman"/>
                <w:sz w:val="16"/>
                <w:szCs w:val="16"/>
              </w:rPr>
              <w:lastRenderedPageBreak/>
              <w:t>70, Telefax: +49 61 03 77 12 34, Website: www.pei.de anzuzeigen.</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Patienten sind darüber zu informieren, dass sie sich an Ihren Arzt oder das medizinische Fachpersonal wenden sollen, wenn sie Nebenwirkungen beme</w:t>
            </w:r>
            <w:r w:rsidRPr="006C1757">
              <w:rPr>
                <w:rFonts w:ascii="Times New Roman" w:hAnsi="Times New Roman"/>
                <w:sz w:val="16"/>
                <w:szCs w:val="16"/>
              </w:rPr>
              <w:t>r</w:t>
            </w:r>
            <w:r w:rsidRPr="006C1757">
              <w:rPr>
                <w:rFonts w:ascii="Times New Roman" w:hAnsi="Times New Roman"/>
                <w:sz w:val="16"/>
                <w:szCs w:val="16"/>
              </w:rPr>
              <w:t>ken. Dies gilt auch für Nebenwirkungen, die nicht in dieser Gebrauchsinformation und Fachinformation angegeben sind. Patienten können Nebenwi</w:t>
            </w:r>
            <w:r w:rsidRPr="006C1757">
              <w:rPr>
                <w:rFonts w:ascii="Times New Roman" w:hAnsi="Times New Roman"/>
                <w:sz w:val="16"/>
                <w:szCs w:val="16"/>
              </w:rPr>
              <w:t>r</w:t>
            </w:r>
            <w:r w:rsidRPr="006C1757">
              <w:rPr>
                <w:rFonts w:ascii="Times New Roman" w:hAnsi="Times New Roman"/>
                <w:sz w:val="16"/>
                <w:szCs w:val="16"/>
              </w:rPr>
              <w:t>kungen auch direkt dem Paul-Ehrlich-Institut anzeigen. Indem Patienten Nebenwirkungen melden, können sie dazu beitragen, dass mehr Informationen über die Sicherheit dieses Arzneimittels zur Verfügung gestellt werden.</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r w:rsidRPr="00792041">
              <w:rPr>
                <w:rFonts w:ascii="Times New Roman" w:hAnsi="Times New Roman"/>
                <w:b/>
                <w:sz w:val="16"/>
                <w:szCs w:val="16"/>
              </w:rPr>
              <w:lastRenderedPageBreak/>
              <w:t>6.</w:t>
            </w: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Pharmakologische Eigenschaften</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Das Plasma einer Einzelblutspende in Stabilisatorlösung enthält neben den Gerinnungs- und Fibrinolyseproenzymen auch deren Inhibitoren. Die Protei</w:t>
            </w:r>
            <w:r w:rsidRPr="006C1757">
              <w:rPr>
                <w:rFonts w:ascii="Times New Roman" w:hAnsi="Times New Roman"/>
                <w:sz w:val="16"/>
                <w:szCs w:val="16"/>
              </w:rPr>
              <w:t>n</w:t>
            </w:r>
            <w:r w:rsidRPr="006C1757">
              <w:rPr>
                <w:rFonts w:ascii="Times New Roman" w:hAnsi="Times New Roman"/>
                <w:sz w:val="16"/>
                <w:szCs w:val="16"/>
              </w:rPr>
              <w:t>konzentration ist abhängig vom Eiweißspiegel des einzelnen Blutspenders. Die Aktivität der im aufgetauten Plasma gemessenen Enzyme und Inhibitoren unterliegt individuellen Schwankungen und muss mindestens 70</w:t>
            </w:r>
            <w:r w:rsidR="00747B23" w:rsidRPr="00DD040B">
              <w:rPr>
                <w:rFonts w:ascii="Times New Roman" w:hAnsi="Times New Roman"/>
                <w:sz w:val="16"/>
                <w:szCs w:val="16"/>
              </w:rPr>
              <w:t> </w:t>
            </w:r>
            <w:r w:rsidRPr="006C1757">
              <w:rPr>
                <w:rFonts w:ascii="Times New Roman" w:hAnsi="Times New Roman"/>
                <w:sz w:val="16"/>
                <w:szCs w:val="16"/>
              </w:rPr>
              <w:t>% ihrer ursprünglichen Aktivität betragen. Gefrorenes Frischplasma enthält weder kö</w:t>
            </w:r>
            <w:r w:rsidRPr="006C1757">
              <w:rPr>
                <w:rFonts w:ascii="Times New Roman" w:hAnsi="Times New Roman"/>
                <w:sz w:val="16"/>
                <w:szCs w:val="16"/>
              </w:rPr>
              <w:t>r</w:t>
            </w:r>
            <w:r w:rsidRPr="006C1757">
              <w:rPr>
                <w:rFonts w:ascii="Times New Roman" w:hAnsi="Times New Roman"/>
                <w:sz w:val="16"/>
                <w:szCs w:val="16"/>
              </w:rPr>
              <w:t>pereigene Substanzen in unphysiologischer Konzentration noch körperfremde Stoffe.</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r w:rsidRPr="00792041">
              <w:rPr>
                <w:rFonts w:ascii="Times New Roman" w:hAnsi="Times New Roman"/>
                <w:b/>
                <w:sz w:val="16"/>
                <w:szCs w:val="16"/>
              </w:rPr>
              <w:t>7.</w:t>
            </w:r>
          </w:p>
        </w:tc>
        <w:tc>
          <w:tcPr>
            <w:tcW w:w="9994" w:type="dxa"/>
            <w:gridSpan w:val="2"/>
          </w:tcPr>
          <w:p w:rsidR="007E127B" w:rsidRPr="006C1757" w:rsidRDefault="007E127B" w:rsidP="004047E0">
            <w:pPr>
              <w:jc w:val="both"/>
              <w:rPr>
                <w:rFonts w:ascii="Times New Roman" w:hAnsi="Times New Roman"/>
                <w:b/>
                <w:sz w:val="16"/>
                <w:szCs w:val="16"/>
              </w:rPr>
            </w:pPr>
            <w:r w:rsidRPr="006C1757">
              <w:rPr>
                <w:rFonts w:ascii="Times New Roman" w:hAnsi="Times New Roman"/>
                <w:b/>
                <w:sz w:val="16"/>
                <w:szCs w:val="16"/>
              </w:rPr>
              <w:t>Weitere Hinweise</w:t>
            </w:r>
          </w:p>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a) Angaben zur Aufbewahrung und Haltbarkeit</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Gefrorenes Frischplasma „Gefrorenes Frischplasma U-FR“ ist 24 Monate bei ≤30°C bis zu dem auf dem Etikett angegebenen Verfalldatum haltbar. (Kühlkette beachten).</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 xml:space="preserve">Plasma darf nach Ablauf des Verfalldatums nicht mehr angewendet werden. </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 xml:space="preserve">Gefrorenes Plasma muss unmittelbar vor der Infusion bei Temperaturen nicht über 37°C aufgetaut werden. Alle Proteinniederschläge (Kryoproteine) müssen gelöst sein, deshalb ist während des Auftauvorgangs auf gute Durchmischung des Beutelinhaltes zu achten, Schütteln ist zu vermeiden. </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Zum Auftauen der Plasmen dürfen nur für diesen Zweck geeignete Geräte eingesetzt werden.</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 xml:space="preserve">Das Risiko der bakteriellen Kontamination des GFP beim Auftauen muss vermieden werden. Der tiefgefrorene Beutel ist zerbrechlich. </w:t>
            </w:r>
          </w:p>
          <w:p w:rsidR="007E127B" w:rsidRPr="006C1757" w:rsidRDefault="007E127B" w:rsidP="007E127B">
            <w:pPr>
              <w:numPr>
                <w:ilvl w:val="0"/>
                <w:numId w:val="6"/>
              </w:numPr>
              <w:jc w:val="both"/>
              <w:rPr>
                <w:rFonts w:ascii="Times New Roman" w:hAnsi="Times New Roman"/>
                <w:sz w:val="16"/>
                <w:szCs w:val="16"/>
              </w:rPr>
            </w:pPr>
            <w:r w:rsidRPr="006C1757">
              <w:rPr>
                <w:rFonts w:ascii="Times New Roman" w:hAnsi="Times New Roman"/>
                <w:sz w:val="16"/>
                <w:szCs w:val="16"/>
              </w:rPr>
              <w:t>Ein durch das Transfusionsbesteck geöffneter Plasmabeutel muss unverzüglich, spätestens jedoch innerhalb von 6 Stunden transfundiert werden.</w:t>
            </w:r>
          </w:p>
          <w:p w:rsidR="007E127B" w:rsidRPr="006C1757" w:rsidRDefault="007E127B" w:rsidP="007E127B">
            <w:pPr>
              <w:numPr>
                <w:ilvl w:val="0"/>
                <w:numId w:val="6"/>
              </w:numPr>
              <w:jc w:val="both"/>
              <w:rPr>
                <w:rFonts w:ascii="Times New Roman" w:hAnsi="Times New Roman"/>
                <w:b/>
                <w:sz w:val="16"/>
                <w:szCs w:val="16"/>
              </w:rPr>
            </w:pPr>
            <w:r w:rsidRPr="006C1757">
              <w:rPr>
                <w:rFonts w:ascii="Times New Roman" w:hAnsi="Times New Roman"/>
                <w:sz w:val="16"/>
                <w:szCs w:val="16"/>
              </w:rPr>
              <w:t>Aufgetautes Plasma darf nicht wieder für Transfusionszwecke eingefroren werden.</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b) Optische Prüfung</w:t>
            </w:r>
          </w:p>
          <w:p w:rsidR="007E127B" w:rsidRPr="006C1757" w:rsidRDefault="007E127B" w:rsidP="004047E0">
            <w:pPr>
              <w:jc w:val="both"/>
              <w:rPr>
                <w:rFonts w:ascii="Times New Roman" w:hAnsi="Times New Roman"/>
                <w:b/>
                <w:bCs/>
                <w:sz w:val="16"/>
                <w:szCs w:val="16"/>
              </w:rPr>
            </w:pPr>
            <w:r w:rsidRPr="006C1757">
              <w:rPr>
                <w:rFonts w:ascii="Times New Roman" w:hAnsi="Times New Roman"/>
                <w:sz w:val="16"/>
                <w:szCs w:val="16"/>
              </w:rPr>
              <w:t>Unmittelbar vor der Transfusion muss jeder Plasmabeutel einer optischen Qualitätsprüfung unterzogen werden. Der Inhalt beschädigter Beutel (z.B. Ri</w:t>
            </w:r>
            <w:r w:rsidRPr="006C1757">
              <w:rPr>
                <w:rFonts w:ascii="Times New Roman" w:hAnsi="Times New Roman"/>
                <w:sz w:val="16"/>
                <w:szCs w:val="16"/>
              </w:rPr>
              <w:t>s</w:t>
            </w:r>
            <w:r w:rsidRPr="006C1757">
              <w:rPr>
                <w:rFonts w:ascii="Times New Roman" w:hAnsi="Times New Roman"/>
                <w:sz w:val="16"/>
                <w:szCs w:val="16"/>
              </w:rPr>
              <w:t xml:space="preserve">se in der Folie) darf auf keinen Fall zur Transfusion verwendet werden. </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rPr>
                <w:rFonts w:ascii="Times New Roman" w:hAnsi="Times New Roman"/>
                <w:b/>
                <w:bCs/>
                <w:sz w:val="16"/>
                <w:szCs w:val="16"/>
              </w:rPr>
            </w:pPr>
            <w:r w:rsidRPr="006C1757">
              <w:rPr>
                <w:rFonts w:ascii="Times New Roman" w:hAnsi="Times New Roman"/>
                <w:b/>
                <w:sz w:val="16"/>
                <w:szCs w:val="16"/>
              </w:rPr>
              <w:t>c) Zusammensetzung des Fertigarzneimittels</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7E127B">
            <w:pPr>
              <w:spacing w:after="60"/>
              <w:rPr>
                <w:rFonts w:ascii="Times New Roman" w:hAnsi="Times New Roman"/>
                <w:sz w:val="16"/>
                <w:szCs w:val="16"/>
              </w:rPr>
            </w:pPr>
            <w:r w:rsidRPr="006C1757">
              <w:rPr>
                <w:rFonts w:ascii="Times New Roman" w:hAnsi="Times New Roman"/>
                <w:b/>
                <w:sz w:val="16"/>
                <w:szCs w:val="16"/>
              </w:rPr>
              <w:t>Wirkstoffe (nach Art und Menge):</w:t>
            </w:r>
          </w:p>
          <w:p w:rsidR="007E127B" w:rsidRPr="006C1757" w:rsidRDefault="00747B23" w:rsidP="007E127B">
            <w:pPr>
              <w:rPr>
                <w:rFonts w:ascii="Times New Roman" w:hAnsi="Times New Roman"/>
                <w:b/>
                <w:sz w:val="16"/>
                <w:szCs w:val="16"/>
              </w:rPr>
            </w:pPr>
            <w:r>
              <w:rPr>
                <w:rFonts w:ascii="Times New Roman" w:hAnsi="Times New Roman"/>
                <w:sz w:val="16"/>
                <w:szCs w:val="16"/>
              </w:rPr>
              <w:t>0,61 - 0,82</w:t>
            </w:r>
            <w:r w:rsidRPr="00DD040B">
              <w:rPr>
                <w:rFonts w:ascii="Times New Roman" w:hAnsi="Times New Roman"/>
                <w:sz w:val="16"/>
                <w:szCs w:val="16"/>
              </w:rPr>
              <w:t> </w:t>
            </w:r>
            <w:r w:rsidR="007E127B" w:rsidRPr="006C1757">
              <w:rPr>
                <w:rFonts w:ascii="Times New Roman" w:hAnsi="Times New Roman"/>
                <w:sz w:val="16"/>
                <w:szCs w:val="16"/>
              </w:rPr>
              <w:t>L/L gerinnungsaktives Humanplasma aus einer einzelnen Vollblutspende</w:t>
            </w:r>
          </w:p>
        </w:tc>
      </w:tr>
      <w:tr w:rsidR="007E127B" w:rsidRPr="00792041" w:rsidTr="00772B21">
        <w:tc>
          <w:tcPr>
            <w:tcW w:w="496" w:type="dxa"/>
            <w:shd w:val="clear" w:color="auto" w:fill="auto"/>
          </w:tcPr>
          <w:p w:rsidR="007E127B" w:rsidRPr="00792041" w:rsidRDefault="007E127B" w:rsidP="00772B21">
            <w:pPr>
              <w:jc w:val="both"/>
              <w:rPr>
                <w:rFonts w:ascii="Times New Roman" w:hAnsi="Times New Roman"/>
                <w:b/>
                <w:bCs/>
                <w:sz w:val="16"/>
                <w:szCs w:val="16"/>
              </w:rPr>
            </w:pPr>
          </w:p>
        </w:tc>
        <w:tc>
          <w:tcPr>
            <w:tcW w:w="4733" w:type="dxa"/>
            <w:shd w:val="clear" w:color="auto" w:fill="auto"/>
          </w:tcPr>
          <w:p w:rsidR="007E127B" w:rsidRPr="006C1757" w:rsidRDefault="007E127B" w:rsidP="004047E0">
            <w:pPr>
              <w:spacing w:after="60"/>
              <w:rPr>
                <w:rFonts w:ascii="Times New Roman" w:hAnsi="Times New Roman"/>
                <w:sz w:val="16"/>
                <w:szCs w:val="16"/>
                <w:shd w:val="clear" w:color="auto" w:fill="FFFF00"/>
              </w:rPr>
            </w:pPr>
            <w:r w:rsidRPr="006C1757">
              <w:rPr>
                <w:rFonts w:ascii="Times New Roman" w:hAnsi="Times New Roman"/>
                <w:b/>
                <w:sz w:val="16"/>
                <w:szCs w:val="16"/>
              </w:rPr>
              <w:t>Sonstige Bestandteile:</w:t>
            </w:r>
            <w:r w:rsidRPr="006C1757">
              <w:rPr>
                <w:rFonts w:ascii="Times New Roman" w:hAnsi="Times New Roman"/>
                <w:b/>
                <w:sz w:val="16"/>
                <w:szCs w:val="16"/>
                <w:shd w:val="clear" w:color="auto" w:fill="FFFF00"/>
              </w:rPr>
              <w:t xml:space="preserve"> </w:t>
            </w:r>
          </w:p>
          <w:p w:rsidR="007E127B" w:rsidRPr="006C1757" w:rsidRDefault="00747B23" w:rsidP="004047E0">
            <w:pPr>
              <w:rPr>
                <w:rFonts w:ascii="Times New Roman" w:hAnsi="Times New Roman"/>
                <w:sz w:val="16"/>
                <w:szCs w:val="16"/>
                <w:shd w:val="clear" w:color="auto" w:fill="FFFF00"/>
              </w:rPr>
            </w:pPr>
            <w:r>
              <w:rPr>
                <w:rFonts w:ascii="Times New Roman" w:hAnsi="Times New Roman"/>
                <w:sz w:val="16"/>
                <w:szCs w:val="16"/>
              </w:rPr>
              <w:t>bezogen auf 1</w:t>
            </w:r>
            <w:r w:rsidRPr="00DD040B">
              <w:rPr>
                <w:rFonts w:ascii="Times New Roman" w:hAnsi="Times New Roman"/>
                <w:sz w:val="16"/>
                <w:szCs w:val="16"/>
              </w:rPr>
              <w:t> </w:t>
            </w:r>
            <w:r w:rsidR="007E127B" w:rsidRPr="006C1757">
              <w:rPr>
                <w:rFonts w:ascii="Times New Roman" w:hAnsi="Times New Roman"/>
                <w:sz w:val="16"/>
                <w:szCs w:val="16"/>
              </w:rPr>
              <w:t>ml:</w:t>
            </w:r>
            <w:r w:rsidR="007E127B" w:rsidRPr="006C1757">
              <w:rPr>
                <w:rFonts w:ascii="Times New Roman" w:hAnsi="Times New Roman"/>
                <w:sz w:val="16"/>
                <w:szCs w:val="16"/>
                <w:shd w:val="clear" w:color="auto" w:fill="FFFF00"/>
              </w:rPr>
              <w:t xml:space="preserve"> </w:t>
            </w:r>
          </w:p>
          <w:p w:rsidR="007E127B" w:rsidRPr="006C1757" w:rsidRDefault="007E127B" w:rsidP="004047E0">
            <w:pPr>
              <w:rPr>
                <w:rFonts w:ascii="Times New Roman" w:hAnsi="Times New Roman"/>
                <w:sz w:val="16"/>
                <w:szCs w:val="16"/>
                <w:shd w:val="clear" w:color="auto" w:fill="FFFF00"/>
              </w:rPr>
            </w:pPr>
            <w:r w:rsidRPr="006C1757">
              <w:rPr>
                <w:rFonts w:ascii="Times New Roman" w:hAnsi="Times New Roman"/>
                <w:sz w:val="16"/>
                <w:szCs w:val="16"/>
              </w:rPr>
              <w:t>CPD Stabilisatorlösung (Ph.Eur )</w:t>
            </w:r>
            <w:r w:rsidRPr="006C1757">
              <w:rPr>
                <w:rFonts w:ascii="Times New Roman" w:hAnsi="Times New Roman"/>
                <w:sz w:val="16"/>
                <w:szCs w:val="16"/>
              </w:rPr>
              <w:tab/>
            </w:r>
            <w:r w:rsidR="00747B23">
              <w:rPr>
                <w:rFonts w:ascii="Times New Roman" w:hAnsi="Times New Roman"/>
                <w:sz w:val="16"/>
                <w:szCs w:val="16"/>
              </w:rPr>
              <w:tab/>
              <w:t>0,18-0,39</w:t>
            </w:r>
            <w:r w:rsidR="00747B23" w:rsidRPr="00DD040B">
              <w:rPr>
                <w:rFonts w:ascii="Times New Roman" w:hAnsi="Times New Roman"/>
                <w:sz w:val="16"/>
                <w:szCs w:val="16"/>
              </w:rPr>
              <w:t> </w:t>
            </w:r>
            <w:r w:rsidRPr="006C1757">
              <w:rPr>
                <w:rFonts w:ascii="Times New Roman" w:hAnsi="Times New Roman"/>
                <w:sz w:val="16"/>
                <w:szCs w:val="16"/>
              </w:rPr>
              <w:t>ml</w:t>
            </w:r>
          </w:p>
          <w:p w:rsidR="007E127B" w:rsidRPr="006C1757" w:rsidRDefault="00747B23" w:rsidP="004047E0">
            <w:pPr>
              <w:rPr>
                <w:rFonts w:ascii="Times New Roman" w:hAnsi="Times New Roman"/>
                <w:sz w:val="16"/>
                <w:szCs w:val="16"/>
                <w:shd w:val="clear" w:color="auto" w:fill="FFFF00"/>
              </w:rPr>
            </w:pPr>
            <w:r>
              <w:rPr>
                <w:rFonts w:ascii="Times New Roman" w:hAnsi="Times New Roman"/>
                <w:sz w:val="16"/>
                <w:szCs w:val="16"/>
              </w:rPr>
              <w:t>1000</w:t>
            </w:r>
            <w:r w:rsidRPr="00DD040B">
              <w:rPr>
                <w:rFonts w:ascii="Times New Roman" w:hAnsi="Times New Roman"/>
                <w:sz w:val="16"/>
                <w:szCs w:val="16"/>
              </w:rPr>
              <w:t> </w:t>
            </w:r>
            <w:r w:rsidR="007E127B" w:rsidRPr="006C1757">
              <w:rPr>
                <w:rFonts w:ascii="Times New Roman" w:hAnsi="Times New Roman"/>
                <w:sz w:val="16"/>
                <w:szCs w:val="16"/>
              </w:rPr>
              <w:t>ml Stabilisatorlösung enthalten:</w:t>
            </w:r>
            <w:r w:rsidR="007E127B" w:rsidRPr="006C1757">
              <w:rPr>
                <w:rFonts w:ascii="Times New Roman" w:hAnsi="Times New Roman"/>
                <w:sz w:val="16"/>
                <w:szCs w:val="16"/>
                <w:shd w:val="clear" w:color="auto" w:fill="FFFF00"/>
              </w:rPr>
              <w:t xml:space="preserve"> </w:t>
            </w:r>
          </w:p>
          <w:p w:rsidR="007E127B" w:rsidRPr="006C1757" w:rsidRDefault="007E127B" w:rsidP="004047E0">
            <w:pPr>
              <w:rPr>
                <w:rFonts w:ascii="Times New Roman" w:hAnsi="Times New Roman"/>
                <w:sz w:val="16"/>
                <w:szCs w:val="16"/>
                <w:shd w:val="clear" w:color="auto" w:fill="FFFF00"/>
              </w:rPr>
            </w:pPr>
            <w:r w:rsidRPr="006C1757">
              <w:rPr>
                <w:rFonts w:ascii="Times New Roman" w:hAnsi="Times New Roman"/>
                <w:sz w:val="16"/>
                <w:szCs w:val="16"/>
              </w:rPr>
              <w:t>Natriumcitrat x 2H</w:t>
            </w:r>
            <w:r w:rsidRPr="00747B23">
              <w:rPr>
                <w:rFonts w:ascii="Times New Roman" w:hAnsi="Times New Roman"/>
                <w:sz w:val="16"/>
                <w:szCs w:val="16"/>
                <w:vertAlign w:val="subscript"/>
              </w:rPr>
              <w:t>2</w:t>
            </w:r>
            <w:r w:rsidRPr="006C1757">
              <w:rPr>
                <w:rFonts w:ascii="Times New Roman" w:hAnsi="Times New Roman"/>
                <w:sz w:val="16"/>
                <w:szCs w:val="16"/>
              </w:rPr>
              <w:t xml:space="preserve">O: </w:t>
            </w:r>
            <w:r w:rsidRPr="006C1757">
              <w:rPr>
                <w:rFonts w:ascii="Times New Roman" w:hAnsi="Times New Roman"/>
                <w:sz w:val="16"/>
                <w:szCs w:val="16"/>
              </w:rPr>
              <w:tab/>
            </w:r>
            <w:r w:rsidR="00747B23">
              <w:rPr>
                <w:rFonts w:ascii="Times New Roman" w:hAnsi="Times New Roman"/>
                <w:sz w:val="16"/>
                <w:szCs w:val="16"/>
              </w:rPr>
              <w:tab/>
            </w:r>
            <w:r w:rsidRPr="006C1757">
              <w:rPr>
                <w:rFonts w:ascii="Times New Roman" w:hAnsi="Times New Roman"/>
                <w:sz w:val="16"/>
                <w:szCs w:val="16"/>
              </w:rPr>
              <w:t>26,3</w:t>
            </w:r>
            <w:r w:rsidR="00747B23" w:rsidRPr="00DD040B">
              <w:rPr>
                <w:rFonts w:ascii="Times New Roman" w:hAnsi="Times New Roman"/>
                <w:sz w:val="16"/>
                <w:szCs w:val="16"/>
              </w:rPr>
              <w:t> </w:t>
            </w:r>
            <w:r w:rsidRPr="006C1757">
              <w:rPr>
                <w:rFonts w:ascii="Times New Roman" w:hAnsi="Times New Roman"/>
                <w:sz w:val="16"/>
                <w:szCs w:val="16"/>
              </w:rPr>
              <w:t>g</w:t>
            </w:r>
          </w:p>
          <w:p w:rsidR="007E127B" w:rsidRPr="006C1757" w:rsidRDefault="007E127B" w:rsidP="004047E0">
            <w:pPr>
              <w:rPr>
                <w:rFonts w:ascii="Times New Roman" w:hAnsi="Times New Roman"/>
                <w:sz w:val="16"/>
                <w:szCs w:val="16"/>
                <w:shd w:val="clear" w:color="auto" w:fill="FFFF00"/>
              </w:rPr>
            </w:pPr>
            <w:r w:rsidRPr="006C1757">
              <w:rPr>
                <w:rFonts w:ascii="Times New Roman" w:hAnsi="Times New Roman"/>
                <w:sz w:val="16"/>
                <w:szCs w:val="16"/>
              </w:rPr>
              <w:t>Citronensäure x H</w:t>
            </w:r>
            <w:r w:rsidRPr="00747B23">
              <w:rPr>
                <w:rFonts w:ascii="Times New Roman" w:hAnsi="Times New Roman"/>
                <w:sz w:val="16"/>
                <w:szCs w:val="16"/>
                <w:vertAlign w:val="subscript"/>
              </w:rPr>
              <w:t>2</w:t>
            </w:r>
            <w:r w:rsidRPr="006C1757">
              <w:rPr>
                <w:rFonts w:ascii="Times New Roman" w:hAnsi="Times New Roman"/>
                <w:sz w:val="16"/>
                <w:szCs w:val="16"/>
              </w:rPr>
              <w:t xml:space="preserve">O: </w:t>
            </w:r>
            <w:r w:rsidRPr="006C1757">
              <w:rPr>
                <w:rFonts w:ascii="Times New Roman" w:hAnsi="Times New Roman"/>
                <w:sz w:val="16"/>
                <w:szCs w:val="16"/>
              </w:rPr>
              <w:tab/>
            </w:r>
            <w:r w:rsidR="00747B23">
              <w:rPr>
                <w:rFonts w:ascii="Times New Roman" w:hAnsi="Times New Roman"/>
                <w:sz w:val="16"/>
                <w:szCs w:val="16"/>
              </w:rPr>
              <w:tab/>
            </w:r>
            <w:r w:rsidRPr="006C1757">
              <w:rPr>
                <w:rFonts w:ascii="Times New Roman" w:hAnsi="Times New Roman"/>
                <w:sz w:val="16"/>
                <w:szCs w:val="16"/>
              </w:rPr>
              <w:t>3,27</w:t>
            </w:r>
            <w:r w:rsidR="00747B23" w:rsidRPr="00DD040B">
              <w:rPr>
                <w:rFonts w:ascii="Times New Roman" w:hAnsi="Times New Roman"/>
                <w:sz w:val="16"/>
                <w:szCs w:val="16"/>
              </w:rPr>
              <w:t> </w:t>
            </w:r>
            <w:r w:rsidRPr="006C1757">
              <w:rPr>
                <w:rFonts w:ascii="Times New Roman" w:hAnsi="Times New Roman"/>
                <w:sz w:val="16"/>
                <w:szCs w:val="16"/>
              </w:rPr>
              <w:t>g</w:t>
            </w:r>
          </w:p>
          <w:p w:rsidR="007E127B" w:rsidRPr="006C1757" w:rsidRDefault="007E127B" w:rsidP="004047E0">
            <w:pPr>
              <w:rPr>
                <w:rFonts w:ascii="Times New Roman" w:hAnsi="Times New Roman"/>
                <w:sz w:val="16"/>
                <w:szCs w:val="16"/>
                <w:shd w:val="clear" w:color="auto" w:fill="FFFF00"/>
              </w:rPr>
            </w:pPr>
            <w:r w:rsidRPr="006C1757">
              <w:rPr>
                <w:rFonts w:ascii="Times New Roman" w:hAnsi="Times New Roman"/>
                <w:sz w:val="16"/>
                <w:szCs w:val="16"/>
              </w:rPr>
              <w:t>Glucose x H</w:t>
            </w:r>
            <w:r w:rsidRPr="00747B23">
              <w:rPr>
                <w:rFonts w:ascii="Times New Roman" w:hAnsi="Times New Roman"/>
                <w:sz w:val="16"/>
                <w:szCs w:val="16"/>
                <w:vertAlign w:val="subscript"/>
              </w:rPr>
              <w:t>2</w:t>
            </w:r>
            <w:r w:rsidRPr="006C1757">
              <w:rPr>
                <w:rFonts w:ascii="Times New Roman" w:hAnsi="Times New Roman"/>
                <w:sz w:val="16"/>
                <w:szCs w:val="16"/>
              </w:rPr>
              <w:t xml:space="preserve">O: </w:t>
            </w:r>
            <w:r w:rsidRPr="006C1757">
              <w:rPr>
                <w:rFonts w:ascii="Times New Roman" w:hAnsi="Times New Roman"/>
                <w:sz w:val="16"/>
                <w:szCs w:val="16"/>
              </w:rPr>
              <w:tab/>
            </w:r>
            <w:r w:rsidRPr="006C1757">
              <w:rPr>
                <w:rFonts w:ascii="Times New Roman" w:hAnsi="Times New Roman"/>
                <w:sz w:val="16"/>
                <w:szCs w:val="16"/>
              </w:rPr>
              <w:tab/>
            </w:r>
            <w:r w:rsidR="00747B23">
              <w:rPr>
                <w:rFonts w:ascii="Times New Roman" w:hAnsi="Times New Roman"/>
                <w:sz w:val="16"/>
                <w:szCs w:val="16"/>
              </w:rPr>
              <w:tab/>
            </w:r>
            <w:r w:rsidRPr="006C1757">
              <w:rPr>
                <w:rFonts w:ascii="Times New Roman" w:hAnsi="Times New Roman"/>
                <w:sz w:val="16"/>
                <w:szCs w:val="16"/>
              </w:rPr>
              <w:t>25,5</w:t>
            </w:r>
            <w:r w:rsidR="00747B23" w:rsidRPr="00DD040B">
              <w:rPr>
                <w:rFonts w:ascii="Times New Roman" w:hAnsi="Times New Roman"/>
                <w:sz w:val="16"/>
                <w:szCs w:val="16"/>
              </w:rPr>
              <w:t> </w:t>
            </w:r>
            <w:r w:rsidRPr="006C1757">
              <w:rPr>
                <w:rFonts w:ascii="Times New Roman" w:hAnsi="Times New Roman"/>
                <w:sz w:val="16"/>
                <w:szCs w:val="16"/>
              </w:rPr>
              <w:t>g</w:t>
            </w:r>
          </w:p>
          <w:p w:rsidR="007E127B" w:rsidRPr="006C1757" w:rsidRDefault="007E127B" w:rsidP="004047E0">
            <w:pPr>
              <w:rPr>
                <w:rFonts w:ascii="Times New Roman" w:hAnsi="Times New Roman"/>
                <w:sz w:val="16"/>
                <w:szCs w:val="16"/>
                <w:shd w:val="clear" w:color="auto" w:fill="FFFF00"/>
              </w:rPr>
            </w:pPr>
            <w:r w:rsidRPr="006C1757">
              <w:rPr>
                <w:rFonts w:ascii="Times New Roman" w:hAnsi="Times New Roman"/>
                <w:sz w:val="16"/>
                <w:szCs w:val="16"/>
              </w:rPr>
              <w:t>NaH</w:t>
            </w:r>
            <w:r w:rsidRPr="00747B23">
              <w:rPr>
                <w:rFonts w:ascii="Times New Roman" w:hAnsi="Times New Roman"/>
                <w:sz w:val="16"/>
                <w:szCs w:val="16"/>
                <w:vertAlign w:val="subscript"/>
              </w:rPr>
              <w:t>2</w:t>
            </w:r>
            <w:r w:rsidRPr="006C1757">
              <w:rPr>
                <w:rFonts w:ascii="Times New Roman" w:hAnsi="Times New Roman"/>
                <w:sz w:val="16"/>
                <w:szCs w:val="16"/>
              </w:rPr>
              <w:t>PO</w:t>
            </w:r>
            <w:r w:rsidRPr="00747B23">
              <w:rPr>
                <w:rFonts w:ascii="Times New Roman" w:hAnsi="Times New Roman"/>
                <w:sz w:val="16"/>
                <w:szCs w:val="16"/>
                <w:vertAlign w:val="subscript"/>
              </w:rPr>
              <w:t>4</w:t>
            </w:r>
            <w:r w:rsidRPr="006C1757">
              <w:rPr>
                <w:rFonts w:ascii="Times New Roman" w:hAnsi="Times New Roman"/>
                <w:sz w:val="16"/>
                <w:szCs w:val="16"/>
              </w:rPr>
              <w:t xml:space="preserve"> x 2H</w:t>
            </w:r>
            <w:r w:rsidRPr="00747B23">
              <w:rPr>
                <w:rFonts w:ascii="Times New Roman" w:hAnsi="Times New Roman"/>
                <w:sz w:val="16"/>
                <w:szCs w:val="16"/>
                <w:vertAlign w:val="subscript"/>
              </w:rPr>
              <w:t>2</w:t>
            </w:r>
            <w:r w:rsidRPr="006C1757">
              <w:rPr>
                <w:rFonts w:ascii="Times New Roman" w:hAnsi="Times New Roman"/>
                <w:sz w:val="16"/>
                <w:szCs w:val="16"/>
              </w:rPr>
              <w:t xml:space="preserve">O: </w:t>
            </w:r>
            <w:r w:rsidRPr="006C1757">
              <w:rPr>
                <w:rFonts w:ascii="Times New Roman" w:hAnsi="Times New Roman"/>
                <w:sz w:val="16"/>
                <w:szCs w:val="16"/>
              </w:rPr>
              <w:tab/>
            </w:r>
            <w:r w:rsidRPr="006C1757">
              <w:rPr>
                <w:rFonts w:ascii="Times New Roman" w:hAnsi="Times New Roman"/>
                <w:sz w:val="16"/>
                <w:szCs w:val="16"/>
              </w:rPr>
              <w:tab/>
              <w:t>2,51</w:t>
            </w:r>
            <w:r w:rsidR="00747B23" w:rsidRPr="00DD040B">
              <w:rPr>
                <w:rFonts w:ascii="Times New Roman" w:hAnsi="Times New Roman"/>
                <w:sz w:val="16"/>
                <w:szCs w:val="16"/>
              </w:rPr>
              <w:t> </w:t>
            </w:r>
            <w:r w:rsidRPr="006C1757">
              <w:rPr>
                <w:rFonts w:ascii="Times New Roman" w:hAnsi="Times New Roman"/>
                <w:sz w:val="16"/>
                <w:szCs w:val="16"/>
              </w:rPr>
              <w:t>g</w:t>
            </w:r>
          </w:p>
          <w:p w:rsidR="007E127B" w:rsidRPr="006C1757" w:rsidRDefault="007E127B" w:rsidP="004047E0">
            <w:pPr>
              <w:rPr>
                <w:rFonts w:ascii="Times New Roman" w:hAnsi="Times New Roman"/>
                <w:sz w:val="16"/>
                <w:szCs w:val="16"/>
                <w:shd w:val="clear" w:color="auto" w:fill="FFFF00"/>
              </w:rPr>
            </w:pPr>
            <w:r w:rsidRPr="006C1757">
              <w:rPr>
                <w:rFonts w:ascii="Times New Roman" w:hAnsi="Times New Roman"/>
                <w:sz w:val="16"/>
                <w:szCs w:val="16"/>
              </w:rPr>
              <w:t>Wasser für Injektionszwecke ad 1000</w:t>
            </w:r>
            <w:r w:rsidR="00747B23" w:rsidRPr="00DD040B">
              <w:rPr>
                <w:rFonts w:ascii="Times New Roman" w:hAnsi="Times New Roman"/>
                <w:sz w:val="16"/>
                <w:szCs w:val="16"/>
              </w:rPr>
              <w:t> </w:t>
            </w:r>
            <w:r w:rsidRPr="006C1757">
              <w:rPr>
                <w:rFonts w:ascii="Times New Roman" w:hAnsi="Times New Roman"/>
                <w:sz w:val="16"/>
                <w:szCs w:val="16"/>
              </w:rPr>
              <w:t>ml</w:t>
            </w:r>
          </w:p>
        </w:tc>
        <w:tc>
          <w:tcPr>
            <w:tcW w:w="5261" w:type="dxa"/>
            <w:shd w:val="clear" w:color="auto" w:fill="auto"/>
          </w:tcPr>
          <w:p w:rsidR="007E127B" w:rsidRPr="00792041" w:rsidRDefault="007E127B" w:rsidP="00772B21">
            <w:pPr>
              <w:rPr>
                <w:rFonts w:ascii="Times New Roman" w:hAnsi="Times New Roman"/>
                <w:sz w:val="16"/>
                <w:szCs w:val="16"/>
              </w:rPr>
            </w:pPr>
          </w:p>
        </w:tc>
      </w:tr>
      <w:tr w:rsidR="007E127B" w:rsidRPr="00792041" w:rsidTr="00772B21">
        <w:tc>
          <w:tcPr>
            <w:tcW w:w="496" w:type="dxa"/>
            <w:shd w:val="clear" w:color="auto" w:fill="auto"/>
          </w:tcPr>
          <w:p w:rsidR="007E127B" w:rsidRPr="00792041" w:rsidRDefault="007E127B" w:rsidP="00772B21">
            <w:pPr>
              <w:jc w:val="both"/>
              <w:rPr>
                <w:rFonts w:ascii="Times New Roman" w:hAnsi="Times New Roman"/>
                <w:b/>
                <w:bCs/>
                <w:sz w:val="16"/>
                <w:szCs w:val="16"/>
              </w:rPr>
            </w:pPr>
          </w:p>
        </w:tc>
        <w:tc>
          <w:tcPr>
            <w:tcW w:w="4733" w:type="dxa"/>
            <w:shd w:val="clear" w:color="auto" w:fill="auto"/>
          </w:tcPr>
          <w:p w:rsidR="007E127B" w:rsidRPr="006C1757" w:rsidRDefault="007E127B" w:rsidP="004047E0">
            <w:pPr>
              <w:rPr>
                <w:rFonts w:ascii="Times New Roman" w:hAnsi="Times New Roman"/>
                <w:sz w:val="16"/>
                <w:szCs w:val="16"/>
                <w:shd w:val="clear" w:color="auto" w:fill="FFFF00"/>
              </w:rPr>
            </w:pPr>
            <w:r w:rsidRPr="006C1757">
              <w:rPr>
                <w:rFonts w:ascii="Times New Roman" w:hAnsi="Times New Roman"/>
                <w:sz w:val="16"/>
                <w:szCs w:val="16"/>
              </w:rPr>
              <w:t>Restzellzahlen pro Liter bzw. pro Packung:</w:t>
            </w:r>
            <w:r w:rsidRPr="006C1757">
              <w:rPr>
                <w:rFonts w:ascii="Times New Roman" w:hAnsi="Times New Roman"/>
                <w:sz w:val="16"/>
                <w:szCs w:val="16"/>
                <w:shd w:val="clear" w:color="auto" w:fill="FFFF00"/>
              </w:rPr>
              <w:t xml:space="preserve"> </w:t>
            </w:r>
          </w:p>
          <w:p w:rsidR="007E127B" w:rsidRPr="006C1757" w:rsidRDefault="007E127B" w:rsidP="004047E0">
            <w:pPr>
              <w:rPr>
                <w:rFonts w:ascii="Times New Roman" w:hAnsi="Times New Roman"/>
                <w:sz w:val="16"/>
                <w:szCs w:val="16"/>
                <w:shd w:val="clear" w:color="auto" w:fill="FFFF00"/>
              </w:rPr>
            </w:pPr>
            <w:r w:rsidRPr="006C1757">
              <w:rPr>
                <w:rFonts w:ascii="Times New Roman" w:hAnsi="Times New Roman"/>
                <w:sz w:val="16"/>
                <w:szCs w:val="16"/>
              </w:rPr>
              <w:t>Leukozyten</w:t>
            </w:r>
            <w:r w:rsidRPr="006C1757">
              <w:rPr>
                <w:rFonts w:ascii="Times New Roman" w:hAnsi="Times New Roman"/>
                <w:sz w:val="16"/>
                <w:szCs w:val="16"/>
              </w:rPr>
              <w:tab/>
              <w:t>&lt; 1 x 10</w:t>
            </w:r>
            <w:r w:rsidRPr="006C1757">
              <w:rPr>
                <w:rFonts w:ascii="Times New Roman" w:hAnsi="Times New Roman"/>
                <w:sz w:val="16"/>
                <w:szCs w:val="16"/>
                <w:vertAlign w:val="superscript"/>
              </w:rPr>
              <w:t>8</w:t>
            </w:r>
            <w:r w:rsidR="00747B23">
              <w:rPr>
                <w:rFonts w:ascii="Times New Roman" w:hAnsi="Times New Roman"/>
                <w:sz w:val="16"/>
                <w:szCs w:val="16"/>
              </w:rPr>
              <w:t>/</w:t>
            </w:r>
            <w:r w:rsidRPr="006C1757">
              <w:rPr>
                <w:rFonts w:ascii="Times New Roman" w:hAnsi="Times New Roman"/>
                <w:sz w:val="16"/>
                <w:szCs w:val="16"/>
              </w:rPr>
              <w:t>Liter bzw. &lt; 3,1 x 10</w:t>
            </w:r>
            <w:r w:rsidRPr="006C1757">
              <w:rPr>
                <w:rFonts w:ascii="Times New Roman" w:hAnsi="Times New Roman"/>
                <w:sz w:val="16"/>
                <w:szCs w:val="16"/>
                <w:vertAlign w:val="superscript"/>
              </w:rPr>
              <w:t>7</w:t>
            </w:r>
            <w:r w:rsidRPr="006C1757">
              <w:rPr>
                <w:rFonts w:ascii="Times New Roman" w:hAnsi="Times New Roman"/>
                <w:sz w:val="16"/>
                <w:szCs w:val="16"/>
              </w:rPr>
              <w:t>/Pck.</w:t>
            </w:r>
          </w:p>
          <w:p w:rsidR="007E127B" w:rsidRPr="006C1757" w:rsidRDefault="007E127B" w:rsidP="004047E0">
            <w:pPr>
              <w:rPr>
                <w:rFonts w:ascii="Times New Roman" w:hAnsi="Times New Roman"/>
                <w:sz w:val="16"/>
                <w:szCs w:val="16"/>
                <w:shd w:val="clear" w:color="auto" w:fill="FFFF00"/>
              </w:rPr>
            </w:pPr>
            <w:r w:rsidRPr="006C1757">
              <w:rPr>
                <w:rFonts w:ascii="Times New Roman" w:hAnsi="Times New Roman"/>
                <w:sz w:val="16"/>
                <w:szCs w:val="16"/>
              </w:rPr>
              <w:t>Thrombozyten</w:t>
            </w:r>
            <w:r w:rsidRPr="006C1757">
              <w:rPr>
                <w:rFonts w:ascii="Times New Roman" w:hAnsi="Times New Roman"/>
                <w:sz w:val="16"/>
                <w:szCs w:val="16"/>
              </w:rPr>
              <w:tab/>
              <w:t>&lt; 2 x10</w:t>
            </w:r>
            <w:r w:rsidRPr="006C1757">
              <w:rPr>
                <w:rFonts w:ascii="Times New Roman" w:hAnsi="Times New Roman"/>
                <w:sz w:val="16"/>
                <w:szCs w:val="16"/>
                <w:vertAlign w:val="superscript"/>
              </w:rPr>
              <w:t>10</w:t>
            </w:r>
            <w:r w:rsidR="00747B23">
              <w:rPr>
                <w:rFonts w:ascii="Times New Roman" w:hAnsi="Times New Roman"/>
                <w:sz w:val="16"/>
                <w:szCs w:val="16"/>
              </w:rPr>
              <w:t>/</w:t>
            </w:r>
            <w:r w:rsidRPr="006C1757">
              <w:rPr>
                <w:rFonts w:ascii="Times New Roman" w:hAnsi="Times New Roman"/>
                <w:sz w:val="16"/>
                <w:szCs w:val="16"/>
              </w:rPr>
              <w:t>Liter bzw. &lt; 6,4 x10</w:t>
            </w:r>
            <w:r w:rsidRPr="006C1757">
              <w:rPr>
                <w:rFonts w:ascii="Times New Roman" w:hAnsi="Times New Roman"/>
                <w:sz w:val="16"/>
                <w:szCs w:val="16"/>
                <w:vertAlign w:val="superscript"/>
              </w:rPr>
              <w:t>9</w:t>
            </w:r>
            <w:r w:rsidR="00747B23">
              <w:rPr>
                <w:rFonts w:ascii="Times New Roman" w:hAnsi="Times New Roman"/>
                <w:sz w:val="16"/>
                <w:szCs w:val="16"/>
              </w:rPr>
              <w:t>/</w:t>
            </w:r>
            <w:r w:rsidRPr="006C1757">
              <w:rPr>
                <w:rFonts w:ascii="Times New Roman" w:hAnsi="Times New Roman"/>
                <w:sz w:val="16"/>
                <w:szCs w:val="16"/>
              </w:rPr>
              <w:t>Pck.</w:t>
            </w:r>
          </w:p>
          <w:p w:rsidR="007E127B" w:rsidRPr="006C1757" w:rsidRDefault="007E127B" w:rsidP="004047E0">
            <w:pPr>
              <w:rPr>
                <w:rFonts w:ascii="Times New Roman" w:hAnsi="Times New Roman"/>
                <w:sz w:val="16"/>
                <w:szCs w:val="16"/>
                <w:shd w:val="clear" w:color="auto" w:fill="FFFF00"/>
              </w:rPr>
            </w:pPr>
            <w:r w:rsidRPr="006C1757">
              <w:rPr>
                <w:rFonts w:ascii="Times New Roman" w:hAnsi="Times New Roman"/>
                <w:sz w:val="16"/>
                <w:szCs w:val="16"/>
              </w:rPr>
              <w:t>Erythrozyten</w:t>
            </w:r>
            <w:r w:rsidRPr="006C1757">
              <w:rPr>
                <w:rFonts w:ascii="Times New Roman" w:hAnsi="Times New Roman"/>
                <w:sz w:val="16"/>
                <w:szCs w:val="16"/>
              </w:rPr>
              <w:tab/>
              <w:t>&lt; 6 x 10</w:t>
            </w:r>
            <w:r w:rsidRPr="006C1757">
              <w:rPr>
                <w:rFonts w:ascii="Times New Roman" w:hAnsi="Times New Roman"/>
                <w:sz w:val="16"/>
                <w:szCs w:val="16"/>
                <w:vertAlign w:val="superscript"/>
              </w:rPr>
              <w:t>9</w:t>
            </w:r>
            <w:r w:rsidRPr="006C1757">
              <w:rPr>
                <w:rFonts w:ascii="Times New Roman" w:hAnsi="Times New Roman"/>
                <w:sz w:val="16"/>
                <w:szCs w:val="16"/>
              </w:rPr>
              <w:t>/Liter bzw. &lt;1,9 x 10</w:t>
            </w:r>
            <w:r w:rsidRPr="006C1757">
              <w:rPr>
                <w:rFonts w:ascii="Times New Roman" w:hAnsi="Times New Roman"/>
                <w:sz w:val="16"/>
                <w:szCs w:val="16"/>
                <w:vertAlign w:val="superscript"/>
              </w:rPr>
              <w:t>9</w:t>
            </w:r>
            <w:r w:rsidR="00747B23">
              <w:rPr>
                <w:rFonts w:ascii="Times New Roman" w:hAnsi="Times New Roman"/>
                <w:sz w:val="16"/>
                <w:szCs w:val="16"/>
              </w:rPr>
              <w:t>/</w:t>
            </w:r>
            <w:r w:rsidRPr="006C1757">
              <w:rPr>
                <w:rFonts w:ascii="Times New Roman" w:hAnsi="Times New Roman"/>
                <w:sz w:val="16"/>
                <w:szCs w:val="16"/>
              </w:rPr>
              <w:t>Pck.</w:t>
            </w:r>
          </w:p>
        </w:tc>
        <w:tc>
          <w:tcPr>
            <w:tcW w:w="5261" w:type="dxa"/>
            <w:shd w:val="clear" w:color="auto" w:fill="auto"/>
          </w:tcPr>
          <w:p w:rsidR="007E127B" w:rsidRPr="00792041" w:rsidRDefault="007E127B" w:rsidP="00772B21">
            <w:pPr>
              <w:tabs>
                <w:tab w:val="clear" w:pos="4536"/>
                <w:tab w:val="clear" w:pos="6804"/>
                <w:tab w:val="left" w:pos="4253"/>
                <w:tab w:val="left" w:pos="6521"/>
              </w:tabs>
              <w:ind w:right="113"/>
              <w:jc w:val="both"/>
              <w:rPr>
                <w:rFonts w:ascii="Times New Roman" w:hAnsi="Times New Roman"/>
                <w:sz w:val="16"/>
                <w:szCs w:val="16"/>
              </w:rPr>
            </w:pP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d) Darreichungsform und Inhalt, Behältnis</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 xml:space="preserve">260 bis </w:t>
            </w:r>
            <w:r w:rsidR="00747B23">
              <w:rPr>
                <w:rFonts w:ascii="Times New Roman" w:hAnsi="Times New Roman"/>
                <w:sz w:val="16"/>
                <w:szCs w:val="16"/>
              </w:rPr>
              <w:t>350</w:t>
            </w:r>
            <w:r w:rsidR="00747B23" w:rsidRPr="00DD040B">
              <w:rPr>
                <w:rFonts w:ascii="Times New Roman" w:hAnsi="Times New Roman"/>
                <w:sz w:val="16"/>
                <w:szCs w:val="16"/>
              </w:rPr>
              <w:t> </w:t>
            </w:r>
            <w:r w:rsidRPr="006C1757">
              <w:rPr>
                <w:rFonts w:ascii="Times New Roman" w:hAnsi="Times New Roman"/>
                <w:sz w:val="16"/>
                <w:szCs w:val="16"/>
              </w:rPr>
              <w:t>ml Infusionslösung im Kunststoffbeutel mit CE-Zertifikat</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 xml:space="preserve">e) Angaben zum pharmazeutischen Unternehmer/Inhaber der Zulassung </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Universitätsklinikum Freiburg, Breisacher Straße 153, 79110 Freiburg</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f) Angaben zum Hersteller, der das Fertigarzneimittel für das Inverkehrbringen freigegeben hat</w:t>
            </w:r>
          </w:p>
          <w:p w:rsidR="007E127B" w:rsidRPr="006C1757" w:rsidRDefault="007E127B" w:rsidP="004047E0">
            <w:pPr>
              <w:rPr>
                <w:rFonts w:ascii="Times New Roman" w:hAnsi="Times New Roman"/>
                <w:b/>
                <w:sz w:val="16"/>
                <w:szCs w:val="16"/>
              </w:rPr>
            </w:pPr>
            <w:r w:rsidRPr="006C1757">
              <w:rPr>
                <w:rFonts w:ascii="Times New Roman" w:hAnsi="Times New Roman"/>
                <w:sz w:val="16"/>
                <w:szCs w:val="16"/>
              </w:rPr>
              <w:t>Institut für Transfusionsmedizin und Gentherapie, Universitä</w:t>
            </w:r>
            <w:r>
              <w:rPr>
                <w:rFonts w:ascii="Times New Roman" w:hAnsi="Times New Roman"/>
                <w:sz w:val="16"/>
                <w:szCs w:val="16"/>
              </w:rPr>
              <w:t>tsklinikum Freiburg</w:t>
            </w:r>
            <w:r w:rsidRPr="00270CBB">
              <w:rPr>
                <w:rFonts w:ascii="Times New Roman" w:hAnsi="Times New Roman"/>
                <w:sz w:val="16"/>
                <w:szCs w:val="16"/>
              </w:rPr>
              <w:t>, Hugstetter Str. 55, 79106</w:t>
            </w:r>
            <w:r w:rsidRPr="006C1757">
              <w:rPr>
                <w:rFonts w:ascii="Times New Roman" w:hAnsi="Times New Roman"/>
                <w:sz w:val="16"/>
                <w:szCs w:val="16"/>
              </w:rPr>
              <w:t xml:space="preserve"> Freiburg</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g) Zulassungsnummer</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 xml:space="preserve">PEI.H. 00497.01.1 </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 xml:space="preserve">h) Datum der Verlängerung der Zulassung </w:t>
            </w:r>
          </w:p>
          <w:p w:rsidR="007E127B" w:rsidRPr="006C1757" w:rsidRDefault="007E127B" w:rsidP="004047E0">
            <w:pPr>
              <w:jc w:val="both"/>
              <w:rPr>
                <w:rFonts w:ascii="Times New Roman" w:hAnsi="Times New Roman"/>
                <w:sz w:val="16"/>
                <w:szCs w:val="16"/>
              </w:rPr>
            </w:pPr>
            <w:r w:rsidRPr="006C1757">
              <w:rPr>
                <w:rFonts w:ascii="Times New Roman" w:hAnsi="Times New Roman"/>
                <w:sz w:val="16"/>
                <w:szCs w:val="16"/>
              </w:rPr>
              <w:t>2.12.2005</w:t>
            </w:r>
          </w:p>
        </w:tc>
      </w:tr>
      <w:tr w:rsidR="007E127B" w:rsidRPr="00792041" w:rsidTr="00772B21">
        <w:tc>
          <w:tcPr>
            <w:tcW w:w="496" w:type="dxa"/>
          </w:tcPr>
          <w:p w:rsidR="007E127B" w:rsidRPr="00792041" w:rsidRDefault="007E127B" w:rsidP="00772B21">
            <w:pPr>
              <w:jc w:val="both"/>
              <w:rPr>
                <w:rFonts w:ascii="Times New Roman" w:hAnsi="Times New Roman"/>
                <w:sz w:val="16"/>
                <w:szCs w:val="16"/>
              </w:rPr>
            </w:pP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i) Arzneimittelstatus</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Verschreibungspflichtig</w:t>
            </w:r>
          </w:p>
        </w:tc>
      </w:tr>
      <w:tr w:rsidR="007E127B" w:rsidRPr="00A83F36" w:rsidTr="00772B21">
        <w:tc>
          <w:tcPr>
            <w:tcW w:w="496" w:type="dxa"/>
          </w:tcPr>
          <w:p w:rsidR="007E127B" w:rsidRPr="00A83F36" w:rsidRDefault="007E127B" w:rsidP="00772B21">
            <w:pPr>
              <w:jc w:val="both"/>
              <w:rPr>
                <w:rFonts w:ascii="Times New Roman" w:hAnsi="Times New Roman"/>
                <w:b/>
                <w:color w:val="000000" w:themeColor="text1"/>
                <w:sz w:val="16"/>
                <w:szCs w:val="16"/>
              </w:rPr>
            </w:pPr>
            <w:r w:rsidRPr="00A83F36">
              <w:rPr>
                <w:rFonts w:ascii="Times New Roman" w:hAnsi="Times New Roman"/>
                <w:color w:val="000000" w:themeColor="text1"/>
                <w:sz w:val="16"/>
                <w:szCs w:val="16"/>
              </w:rPr>
              <w:br w:type="page"/>
            </w:r>
            <w:r w:rsidRPr="00A83F36">
              <w:rPr>
                <w:rFonts w:ascii="Times New Roman" w:hAnsi="Times New Roman"/>
                <w:b/>
                <w:color w:val="000000" w:themeColor="text1"/>
                <w:sz w:val="16"/>
                <w:szCs w:val="16"/>
              </w:rPr>
              <w:t>8.</w:t>
            </w:r>
          </w:p>
        </w:tc>
        <w:tc>
          <w:tcPr>
            <w:tcW w:w="9994" w:type="dxa"/>
            <w:gridSpan w:val="2"/>
          </w:tcPr>
          <w:p w:rsidR="007E127B" w:rsidRPr="006C1757" w:rsidRDefault="007E127B" w:rsidP="004047E0">
            <w:pPr>
              <w:jc w:val="both"/>
              <w:rPr>
                <w:rFonts w:ascii="Times New Roman" w:hAnsi="Times New Roman"/>
                <w:sz w:val="16"/>
                <w:szCs w:val="16"/>
                <w:u w:val="single"/>
              </w:rPr>
            </w:pPr>
            <w:r w:rsidRPr="006C1757">
              <w:rPr>
                <w:rFonts w:ascii="Times New Roman" w:hAnsi="Times New Roman"/>
                <w:b/>
                <w:sz w:val="16"/>
                <w:szCs w:val="16"/>
              </w:rPr>
              <w:t xml:space="preserve">Sonstige Hinweise </w:t>
            </w:r>
          </w:p>
          <w:p w:rsidR="007E127B" w:rsidRPr="006C1757" w:rsidRDefault="007E127B" w:rsidP="004047E0">
            <w:pPr>
              <w:tabs>
                <w:tab w:val="left" w:pos="6521"/>
              </w:tabs>
              <w:jc w:val="both"/>
              <w:rPr>
                <w:rFonts w:ascii="Times New Roman" w:hAnsi="Times New Roman"/>
                <w:sz w:val="16"/>
                <w:szCs w:val="16"/>
              </w:rPr>
            </w:pPr>
            <w:r w:rsidRPr="006C1757">
              <w:rPr>
                <w:rFonts w:ascii="Times New Roman" w:hAnsi="Times New Roman"/>
                <w:sz w:val="16"/>
                <w:szCs w:val="16"/>
              </w:rPr>
              <w:t xml:space="preserve">Maßnahmen zur Reduktion des Übertragungsrisikos von Infektionserregern: </w:t>
            </w:r>
          </w:p>
          <w:p w:rsidR="007E127B" w:rsidRPr="006C1757" w:rsidRDefault="007E127B" w:rsidP="004047E0">
            <w:pPr>
              <w:tabs>
                <w:tab w:val="left" w:pos="6521"/>
              </w:tabs>
              <w:jc w:val="both"/>
              <w:rPr>
                <w:rFonts w:ascii="Times New Roman" w:hAnsi="Times New Roman"/>
                <w:sz w:val="16"/>
                <w:szCs w:val="16"/>
              </w:rPr>
            </w:pPr>
            <w:r w:rsidRPr="006C1757">
              <w:rPr>
                <w:rFonts w:ascii="Times New Roman" w:hAnsi="Times New Roman"/>
                <w:sz w:val="16"/>
                <w:szCs w:val="16"/>
              </w:rPr>
              <w:t>Da bei der Anwendung von aus menschlichem Blut hergestellten Arzneimitteln die Übertragung von Infektionskrankheiten nicht völlig auszuschließen ist, werden Maßnahmen getroffen, um das Risiko einer Übertragung von infektiösem Material zu minimieren: Für die Herstellung werden ausschließlich Spenden gesunder Spender verwendet, die mit negativem Ergebnis getestet wurden auf Humanes Immundefizienz Virus (Anti-HIV-1/2-Ak, HIV-1 G</w:t>
            </w:r>
            <w:r w:rsidRPr="006C1757">
              <w:rPr>
                <w:rFonts w:ascii="Times New Roman" w:hAnsi="Times New Roman"/>
                <w:sz w:val="16"/>
                <w:szCs w:val="16"/>
              </w:rPr>
              <w:t>e</w:t>
            </w:r>
            <w:r w:rsidRPr="006C1757">
              <w:rPr>
                <w:rFonts w:ascii="Times New Roman" w:hAnsi="Times New Roman"/>
                <w:sz w:val="16"/>
                <w:szCs w:val="16"/>
              </w:rPr>
              <w:t xml:space="preserve">nom), Hepatitis-B Virus (HBsAg), Hepatitis-C Virus (Anti-HCV-Ak, HCV-Genom), </w:t>
            </w:r>
            <w:bookmarkStart w:id="0" w:name="_GoBack"/>
            <w:bookmarkEnd w:id="0"/>
            <w:r w:rsidRPr="00270CBB">
              <w:rPr>
                <w:rFonts w:ascii="Times New Roman" w:hAnsi="Times New Roman"/>
                <w:sz w:val="16"/>
                <w:szCs w:val="16"/>
              </w:rPr>
              <w:t>Hepatitis-E Virus (HEV-Genom)</w:t>
            </w:r>
            <w:r w:rsidRPr="006C1757">
              <w:rPr>
                <w:rFonts w:ascii="Times New Roman" w:hAnsi="Times New Roman"/>
                <w:sz w:val="16"/>
                <w:szCs w:val="16"/>
              </w:rPr>
              <w:t xml:space="preserve">  und Treponema pallidu</w:t>
            </w:r>
            <w:r>
              <w:rPr>
                <w:rFonts w:ascii="Times New Roman" w:hAnsi="Times New Roman"/>
                <w:sz w:val="16"/>
                <w:szCs w:val="16"/>
              </w:rPr>
              <w:t>m (Anti-Treponema pallidum-Ak).</w:t>
            </w:r>
            <w:r w:rsidRPr="006C1757">
              <w:rPr>
                <w:rFonts w:ascii="Times New Roman" w:hAnsi="Times New Roman"/>
                <w:sz w:val="16"/>
                <w:szCs w:val="16"/>
              </w:rPr>
              <w:t xml:space="preserve"> Die Spender sind zusätzlich entweder negativ getestet auf Anti-HBc-AK oder </w:t>
            </w:r>
            <w:r w:rsidR="00747B23">
              <w:rPr>
                <w:rFonts w:ascii="Times New Roman" w:hAnsi="Times New Roman"/>
                <w:sz w:val="16"/>
                <w:szCs w:val="16"/>
              </w:rPr>
              <w:t>–</w:t>
            </w:r>
            <w:r w:rsidRPr="006C1757">
              <w:rPr>
                <w:rFonts w:ascii="Times New Roman" w:hAnsi="Times New Roman"/>
                <w:sz w:val="16"/>
                <w:szCs w:val="16"/>
              </w:rPr>
              <w:t xml:space="preserve"> bei wiederholt reaktivem Er</w:t>
            </w:r>
            <w:r w:rsidR="00747B23">
              <w:rPr>
                <w:rFonts w:ascii="Times New Roman" w:hAnsi="Times New Roman"/>
                <w:sz w:val="16"/>
                <w:szCs w:val="16"/>
              </w:rPr>
              <w:t>gebnis auf Anti-HBc-Antikörper –</w:t>
            </w:r>
            <w:r w:rsidRPr="006C1757">
              <w:rPr>
                <w:rFonts w:ascii="Times New Roman" w:hAnsi="Times New Roman"/>
                <w:sz w:val="16"/>
                <w:szCs w:val="16"/>
              </w:rPr>
              <w:t xml:space="preserve"> sind sie negativ getestet auf HBV-Genom </w:t>
            </w:r>
            <w:r w:rsidR="00747B23">
              <w:rPr>
                <w:rFonts w:ascii="Times New Roman" w:hAnsi="Times New Roman"/>
                <w:sz w:val="16"/>
                <w:szCs w:val="16"/>
              </w:rPr>
              <w:t>(Mindestsensitivität 12</w:t>
            </w:r>
            <w:r w:rsidR="00747B23" w:rsidRPr="00DD040B">
              <w:rPr>
                <w:rFonts w:ascii="Times New Roman" w:hAnsi="Times New Roman"/>
                <w:sz w:val="16"/>
                <w:szCs w:val="16"/>
              </w:rPr>
              <w:t> </w:t>
            </w:r>
            <w:r w:rsidR="00747B23">
              <w:rPr>
                <w:rFonts w:ascii="Times New Roman" w:hAnsi="Times New Roman"/>
                <w:sz w:val="16"/>
                <w:szCs w:val="16"/>
              </w:rPr>
              <w:t>IU/</w:t>
            </w:r>
            <w:r w:rsidRPr="006C1757">
              <w:rPr>
                <w:rFonts w:ascii="Times New Roman" w:hAnsi="Times New Roman"/>
                <w:sz w:val="16"/>
                <w:szCs w:val="16"/>
              </w:rPr>
              <w:t>m</w:t>
            </w:r>
            <w:r w:rsidR="00747B23">
              <w:rPr>
                <w:rFonts w:ascii="Times New Roman" w:hAnsi="Times New Roman"/>
                <w:sz w:val="16"/>
                <w:szCs w:val="16"/>
              </w:rPr>
              <w:t>l) und enthalten mindestens 100</w:t>
            </w:r>
            <w:r w:rsidR="00747B23" w:rsidRPr="00DD040B">
              <w:rPr>
                <w:rFonts w:ascii="Times New Roman" w:hAnsi="Times New Roman"/>
                <w:sz w:val="16"/>
                <w:szCs w:val="16"/>
              </w:rPr>
              <w:t> </w:t>
            </w:r>
            <w:r w:rsidRPr="006C1757">
              <w:rPr>
                <w:rFonts w:ascii="Times New Roman" w:hAnsi="Times New Roman"/>
                <w:sz w:val="16"/>
                <w:szCs w:val="16"/>
              </w:rPr>
              <w:t xml:space="preserve">IU/l an schützenden Anti-HBs-Antikörpern. </w:t>
            </w:r>
          </w:p>
          <w:p w:rsidR="007E127B" w:rsidRPr="006C1757" w:rsidRDefault="007E127B" w:rsidP="004047E0">
            <w:pPr>
              <w:tabs>
                <w:tab w:val="left" w:pos="6521"/>
              </w:tabs>
              <w:jc w:val="both"/>
              <w:rPr>
                <w:rFonts w:ascii="Times New Roman" w:hAnsi="Times New Roman"/>
                <w:sz w:val="16"/>
                <w:szCs w:val="16"/>
              </w:rPr>
            </w:pPr>
            <w:r w:rsidRPr="006C1757">
              <w:rPr>
                <w:rFonts w:ascii="Times New Roman" w:hAnsi="Times New Roman"/>
                <w:sz w:val="16"/>
                <w:szCs w:val="16"/>
              </w:rPr>
              <w:t>Das Plasma wird einer Quarantänelagerung von 4 Monaten unterzogen. Das bedeutet, dass nach 4 Monaten der Plasmaspender erneut auf alle Infekt</w:t>
            </w:r>
            <w:r w:rsidRPr="006C1757">
              <w:rPr>
                <w:rFonts w:ascii="Times New Roman" w:hAnsi="Times New Roman"/>
                <w:sz w:val="16"/>
                <w:szCs w:val="16"/>
              </w:rPr>
              <w:t>i</w:t>
            </w:r>
            <w:r w:rsidRPr="006C1757">
              <w:rPr>
                <w:rFonts w:ascii="Times New Roman" w:hAnsi="Times New Roman"/>
                <w:sz w:val="16"/>
                <w:szCs w:val="16"/>
              </w:rPr>
              <w:t>onsmarker wie bei der Spende getestet wird und dass das „Gefrorenes Frischplasma U-FR“ erst nach erneut negativem Ergebnis für den Arzneimittelve</w:t>
            </w:r>
            <w:r w:rsidRPr="006C1757">
              <w:rPr>
                <w:rFonts w:ascii="Times New Roman" w:hAnsi="Times New Roman"/>
                <w:sz w:val="16"/>
                <w:szCs w:val="16"/>
              </w:rPr>
              <w:t>r</w:t>
            </w:r>
            <w:r w:rsidRPr="006C1757">
              <w:rPr>
                <w:rFonts w:ascii="Times New Roman" w:hAnsi="Times New Roman"/>
                <w:sz w:val="16"/>
                <w:szCs w:val="16"/>
              </w:rPr>
              <w:t xml:space="preserve">kehr freigegeben wird.  </w:t>
            </w:r>
          </w:p>
          <w:p w:rsidR="007E127B" w:rsidRPr="006C1757" w:rsidRDefault="007E127B" w:rsidP="004047E0">
            <w:pPr>
              <w:tabs>
                <w:tab w:val="left" w:pos="6521"/>
              </w:tabs>
              <w:jc w:val="both"/>
              <w:rPr>
                <w:rFonts w:ascii="Times New Roman" w:hAnsi="Times New Roman"/>
                <w:sz w:val="16"/>
                <w:szCs w:val="16"/>
                <w:u w:val="single"/>
              </w:rPr>
            </w:pPr>
            <w:r w:rsidRPr="006C1757">
              <w:rPr>
                <w:rFonts w:ascii="Times New Roman" w:hAnsi="Times New Roman"/>
                <w:sz w:val="16"/>
                <w:szCs w:val="16"/>
              </w:rPr>
              <w:t>Qualitätssicherung: Für die Transfusion von GFP sind von den Einrichtungen der Krankenversorgung Maßnahmen im Rahmen der Qualitätssicherung nach § 15 des Transfusionsgesetzes zu ergreifen. Dazu gehören u.a. detaillierte Anweisungen sowohl für die Indikationsstellung und Dosierung abhängig von der Grunderkrankung und dem klinischen Erscheinungsbild (z.B. be</w:t>
            </w:r>
            <w:r>
              <w:rPr>
                <w:rFonts w:ascii="Times New Roman" w:hAnsi="Times New Roman"/>
                <w:sz w:val="16"/>
                <w:szCs w:val="16"/>
              </w:rPr>
              <w:t>i Verlust- und/oder Verdünnungs</w:t>
            </w:r>
            <w:r w:rsidR="00747B23">
              <w:rPr>
                <w:rFonts w:ascii="Times New Roman" w:hAnsi="Times New Roman"/>
                <w:sz w:val="16"/>
                <w:szCs w:val="16"/>
              </w:rPr>
              <w:t>koagu</w:t>
            </w:r>
            <w:r w:rsidRPr="006C1757">
              <w:rPr>
                <w:rFonts w:ascii="Times New Roman" w:hAnsi="Times New Roman"/>
                <w:sz w:val="16"/>
                <w:szCs w:val="16"/>
              </w:rPr>
              <w:t>lopathie, Substitution bei Faktor V- und Faktor XI-Mangel, throm</w:t>
            </w:r>
            <w:r>
              <w:rPr>
                <w:rFonts w:ascii="Times New Roman" w:hAnsi="Times New Roman"/>
                <w:sz w:val="16"/>
                <w:szCs w:val="16"/>
              </w:rPr>
              <w:t>botisch-thrombozytope</w:t>
            </w:r>
            <w:r w:rsidRPr="006C1757">
              <w:rPr>
                <w:rFonts w:ascii="Times New Roman" w:hAnsi="Times New Roman"/>
                <w:sz w:val="16"/>
                <w:szCs w:val="16"/>
              </w:rPr>
              <w:t>nischer Purpura, Austauschtransfusionen), Vorsorg</w:t>
            </w:r>
            <w:r w:rsidR="00747B23">
              <w:rPr>
                <w:rFonts w:ascii="Times New Roman" w:hAnsi="Times New Roman"/>
                <w:sz w:val="16"/>
                <w:szCs w:val="16"/>
              </w:rPr>
              <w:t>emaßnahmen zur Erhaltung der Un</w:t>
            </w:r>
            <w:r w:rsidRPr="006C1757">
              <w:rPr>
                <w:rFonts w:ascii="Times New Roman" w:hAnsi="Times New Roman"/>
                <w:sz w:val="16"/>
                <w:szCs w:val="16"/>
              </w:rPr>
              <w:t>versehrtheit der Blutzubereitung vor der Trans</w:t>
            </w:r>
            <w:r w:rsidR="00747B23">
              <w:rPr>
                <w:rFonts w:ascii="Times New Roman" w:hAnsi="Times New Roman"/>
                <w:sz w:val="16"/>
                <w:szCs w:val="16"/>
              </w:rPr>
              <w:t>fusion und Anweisungen zur Nachun</w:t>
            </w:r>
            <w:r w:rsidRPr="006C1757">
              <w:rPr>
                <w:rFonts w:ascii="Times New Roman" w:hAnsi="Times New Roman"/>
                <w:sz w:val="16"/>
                <w:szCs w:val="16"/>
              </w:rPr>
              <w:t>tersuchung der Patienten für die Feststellung des Transfusionserfolges, eventuell ge</w:t>
            </w:r>
            <w:r w:rsidRPr="006C1757">
              <w:rPr>
                <w:rFonts w:ascii="Times New Roman" w:hAnsi="Times New Roman"/>
                <w:sz w:val="16"/>
                <w:szCs w:val="16"/>
              </w:rPr>
              <w:softHyphen/>
              <w:t>bildeter Antikörper und Hemmkörper gegen Gerinnungsfaktoren, für zu ergrei</w:t>
            </w:r>
            <w:r>
              <w:rPr>
                <w:rFonts w:ascii="Times New Roman" w:hAnsi="Times New Roman"/>
                <w:sz w:val="16"/>
                <w:szCs w:val="16"/>
              </w:rPr>
              <w:t>fende Pro</w:t>
            </w:r>
            <w:r w:rsidRPr="006C1757">
              <w:rPr>
                <w:rFonts w:ascii="Times New Roman" w:hAnsi="Times New Roman"/>
                <w:sz w:val="16"/>
                <w:szCs w:val="16"/>
              </w:rPr>
              <w:t>phylaxemaßnahmen etc.</w:t>
            </w:r>
          </w:p>
          <w:p w:rsidR="007E127B" w:rsidRPr="006C1757" w:rsidRDefault="007E127B" w:rsidP="004047E0">
            <w:pPr>
              <w:jc w:val="both"/>
              <w:rPr>
                <w:rFonts w:ascii="Times New Roman" w:hAnsi="Times New Roman"/>
                <w:sz w:val="16"/>
                <w:szCs w:val="16"/>
              </w:rPr>
            </w:pPr>
            <w:r w:rsidRPr="006C1757">
              <w:rPr>
                <w:rFonts w:ascii="Times New Roman" w:hAnsi="Times New Roman"/>
                <w:sz w:val="16"/>
                <w:szCs w:val="16"/>
                <w:u w:val="single"/>
              </w:rPr>
              <w:t>Besondere Vorsichtsmaßnahmen für die Beseitigung:</w:t>
            </w:r>
          </w:p>
          <w:p w:rsidR="007E127B" w:rsidRPr="006C1757" w:rsidRDefault="007E127B" w:rsidP="004047E0">
            <w:pPr>
              <w:pStyle w:val="Textkrper"/>
              <w:rPr>
                <w:rFonts w:ascii="Times New Roman" w:hAnsi="Times New Roman"/>
                <w:sz w:val="16"/>
                <w:szCs w:val="16"/>
              </w:rPr>
            </w:pPr>
            <w:r w:rsidRPr="006C1757">
              <w:rPr>
                <w:rFonts w:ascii="Times New Roman" w:hAnsi="Times New Roman"/>
                <w:sz w:val="16"/>
                <w:szCs w:val="16"/>
              </w:rPr>
              <w:t>Die ordnungsgemäße Entsorgung von angebrochenen bzw. nicht mehr verwendbaren Präparaten ist entsprechend den Vorgaben der Einrichtung der Krankenversorgung sicherzustellen.</w:t>
            </w:r>
          </w:p>
          <w:p w:rsidR="007E127B" w:rsidRPr="006C1757" w:rsidRDefault="007E127B" w:rsidP="004047E0">
            <w:pPr>
              <w:jc w:val="both"/>
              <w:rPr>
                <w:rFonts w:ascii="Times New Roman" w:hAnsi="Times New Roman"/>
                <w:b/>
                <w:sz w:val="16"/>
                <w:szCs w:val="16"/>
              </w:rPr>
            </w:pPr>
            <w:r w:rsidRPr="006C1757">
              <w:rPr>
                <w:rFonts w:ascii="Times New Roman" w:hAnsi="Times New Roman"/>
                <w:sz w:val="16"/>
                <w:szCs w:val="16"/>
              </w:rPr>
              <w:t>Die jeweils aktuellen “</w:t>
            </w:r>
            <w:r w:rsidRPr="006C1757">
              <w:rPr>
                <w:rFonts w:ascii="Times New Roman" w:hAnsi="Times New Roman"/>
                <w:sz w:val="16"/>
                <w:szCs w:val="16"/>
                <w:lang w:val="de-CH"/>
              </w:rPr>
              <w:t>Richtlinien zur Gewinnung von Blut und Blutbestandteilen und zur Anwendung von Blutprodukten (Hämotherapie)</w:t>
            </w:r>
            <w:r w:rsidRPr="006C1757">
              <w:rPr>
                <w:rFonts w:ascii="Times New Roman" w:hAnsi="Times New Roman"/>
                <w:sz w:val="16"/>
                <w:szCs w:val="16"/>
              </w:rPr>
              <w:t>“ sowie geg</w:t>
            </w:r>
            <w:r w:rsidRPr="006C1757">
              <w:rPr>
                <w:rFonts w:ascii="Times New Roman" w:hAnsi="Times New Roman"/>
                <w:sz w:val="16"/>
                <w:szCs w:val="16"/>
              </w:rPr>
              <w:t>e</w:t>
            </w:r>
            <w:r w:rsidRPr="006C1757">
              <w:rPr>
                <w:rFonts w:ascii="Times New Roman" w:hAnsi="Times New Roman"/>
                <w:sz w:val="16"/>
                <w:szCs w:val="16"/>
              </w:rPr>
              <w:t>benenfalls ergänzende Veröffentlichungen der Bundesärztekammer und des Paul-Ehrlich-Instituts sind zu berücksichtigen.</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r w:rsidRPr="00792041">
              <w:rPr>
                <w:rFonts w:ascii="Times New Roman" w:hAnsi="Times New Roman"/>
                <w:b/>
                <w:sz w:val="16"/>
                <w:szCs w:val="16"/>
              </w:rPr>
              <w:t>9.</w:t>
            </w:r>
          </w:p>
        </w:tc>
        <w:tc>
          <w:tcPr>
            <w:tcW w:w="9994" w:type="dxa"/>
            <w:gridSpan w:val="2"/>
          </w:tcPr>
          <w:p w:rsidR="007E127B" w:rsidRPr="006C1757" w:rsidRDefault="007E127B" w:rsidP="004047E0">
            <w:pPr>
              <w:jc w:val="both"/>
              <w:rPr>
                <w:rFonts w:ascii="Times New Roman" w:hAnsi="Times New Roman"/>
                <w:sz w:val="16"/>
                <w:szCs w:val="16"/>
              </w:rPr>
            </w:pPr>
            <w:r w:rsidRPr="006C1757">
              <w:rPr>
                <w:rFonts w:ascii="Times New Roman" w:hAnsi="Times New Roman"/>
                <w:b/>
                <w:sz w:val="16"/>
                <w:szCs w:val="16"/>
              </w:rPr>
              <w:t>Datum der letzten Überarbeitung</w:t>
            </w:r>
          </w:p>
          <w:p w:rsidR="007E127B" w:rsidRPr="006C1757" w:rsidRDefault="003B2815" w:rsidP="00461755">
            <w:pPr>
              <w:jc w:val="both"/>
              <w:rPr>
                <w:rFonts w:ascii="Times New Roman" w:hAnsi="Times New Roman"/>
                <w:sz w:val="16"/>
                <w:szCs w:val="16"/>
              </w:rPr>
            </w:pPr>
            <w:r>
              <w:rPr>
                <w:rFonts w:ascii="Times New Roman" w:hAnsi="Times New Roman"/>
                <w:sz w:val="16"/>
                <w:szCs w:val="16"/>
              </w:rPr>
              <w:t>12</w:t>
            </w:r>
            <w:r w:rsidR="007E127B" w:rsidRPr="006C1757">
              <w:rPr>
                <w:rFonts w:ascii="Times New Roman" w:hAnsi="Times New Roman"/>
                <w:sz w:val="16"/>
                <w:szCs w:val="16"/>
              </w:rPr>
              <w:t>.05.2021</w:t>
            </w:r>
          </w:p>
        </w:tc>
      </w:tr>
    </w:tbl>
    <w:p w:rsidR="009C50AF" w:rsidRPr="00B2330F" w:rsidRDefault="009C50AF" w:rsidP="00316F61">
      <w:pPr>
        <w:rPr>
          <w:rFonts w:ascii="Times New Roman" w:hAnsi="Times New Roman"/>
          <w:sz w:val="4"/>
          <w:szCs w:val="16"/>
        </w:rPr>
      </w:pPr>
    </w:p>
    <w:sectPr w:rsidR="009C50AF" w:rsidRPr="00B2330F" w:rsidSect="00772B21">
      <w:headerReference w:type="default" r:id="rId9"/>
      <w:footerReference w:type="default" r:id="rId10"/>
      <w:pgSz w:w="11907" w:h="16840" w:code="9"/>
      <w:pgMar w:top="720" w:right="720" w:bottom="720" w:left="720" w:header="567" w:footer="6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1C" w:rsidRPr="003C6F71" w:rsidRDefault="00D9521C">
      <w:pPr>
        <w:rPr>
          <w:sz w:val="23"/>
          <w:szCs w:val="23"/>
        </w:rPr>
      </w:pPr>
      <w:r w:rsidRPr="003C6F71">
        <w:rPr>
          <w:sz w:val="23"/>
          <w:szCs w:val="23"/>
        </w:rPr>
        <w:separator/>
      </w:r>
    </w:p>
  </w:endnote>
  <w:endnote w:type="continuationSeparator" w:id="0">
    <w:p w:rsidR="00D9521C" w:rsidRPr="003C6F71" w:rsidRDefault="00D9521C">
      <w:pPr>
        <w:rPr>
          <w:sz w:val="23"/>
          <w:szCs w:val="23"/>
        </w:rPr>
      </w:pPr>
      <w:r w:rsidRPr="003C6F7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D2" w:rsidRPr="007B50D4" w:rsidRDefault="00F77ED2" w:rsidP="00B9309A">
    <w:pPr>
      <w:pStyle w:val="Fuzeile"/>
      <w:pBdr>
        <w:top w:val="single" w:sz="4" w:space="1" w:color="auto"/>
      </w:pBdr>
      <w:tabs>
        <w:tab w:val="clear" w:pos="9072"/>
        <w:tab w:val="right" w:pos="10490"/>
      </w:tabs>
      <w:ind w:right="-1"/>
      <w:jc w:val="right"/>
      <w:rPr>
        <w:rFonts w:ascii="Times New Roman" w:hAnsi="Times New Roman"/>
        <w:sz w:val="15"/>
        <w:szCs w:val="16"/>
      </w:rPr>
    </w:pPr>
    <w:r w:rsidRPr="007B50D4">
      <w:rPr>
        <w:rFonts w:ascii="Times New Roman" w:hAnsi="Times New Roman"/>
        <w:sz w:val="15"/>
        <w:szCs w:val="16"/>
      </w:rPr>
      <w:t xml:space="preserve">Seite </w:t>
    </w:r>
    <w:r w:rsidRPr="007B50D4">
      <w:rPr>
        <w:rFonts w:ascii="Times New Roman" w:hAnsi="Times New Roman"/>
        <w:sz w:val="15"/>
        <w:szCs w:val="16"/>
      </w:rPr>
      <w:fldChar w:fldCharType="begin"/>
    </w:r>
    <w:r w:rsidRPr="007B50D4">
      <w:rPr>
        <w:rFonts w:ascii="Times New Roman" w:hAnsi="Times New Roman"/>
        <w:sz w:val="15"/>
        <w:szCs w:val="16"/>
      </w:rPr>
      <w:instrText xml:space="preserve"> PAGE </w:instrText>
    </w:r>
    <w:r w:rsidRPr="007B50D4">
      <w:rPr>
        <w:rFonts w:ascii="Times New Roman" w:hAnsi="Times New Roman"/>
        <w:sz w:val="15"/>
        <w:szCs w:val="16"/>
      </w:rPr>
      <w:fldChar w:fldCharType="separate"/>
    </w:r>
    <w:r w:rsidR="00270CBB">
      <w:rPr>
        <w:rFonts w:ascii="Times New Roman" w:hAnsi="Times New Roman"/>
        <w:noProof/>
        <w:sz w:val="15"/>
        <w:szCs w:val="16"/>
      </w:rPr>
      <w:t>2</w:t>
    </w:r>
    <w:r w:rsidRPr="007B50D4">
      <w:rPr>
        <w:rFonts w:ascii="Times New Roman" w:hAnsi="Times New Roman"/>
        <w:sz w:val="15"/>
        <w:szCs w:val="16"/>
      </w:rPr>
      <w:fldChar w:fldCharType="end"/>
    </w:r>
    <w:r w:rsidRPr="007B50D4">
      <w:rPr>
        <w:rFonts w:ascii="Times New Roman" w:hAnsi="Times New Roman"/>
        <w:sz w:val="15"/>
        <w:szCs w:val="16"/>
      </w:rPr>
      <w:t xml:space="preserve"> von </w:t>
    </w:r>
    <w:r w:rsidRPr="007B50D4">
      <w:rPr>
        <w:rFonts w:ascii="Times New Roman" w:hAnsi="Times New Roman"/>
        <w:sz w:val="15"/>
        <w:szCs w:val="16"/>
      </w:rPr>
      <w:fldChar w:fldCharType="begin"/>
    </w:r>
    <w:r w:rsidRPr="007B50D4">
      <w:rPr>
        <w:rFonts w:ascii="Times New Roman" w:hAnsi="Times New Roman"/>
        <w:sz w:val="15"/>
        <w:szCs w:val="16"/>
      </w:rPr>
      <w:instrText xml:space="preserve"> NUMPAGES </w:instrText>
    </w:r>
    <w:r w:rsidRPr="007B50D4">
      <w:rPr>
        <w:rFonts w:ascii="Times New Roman" w:hAnsi="Times New Roman"/>
        <w:sz w:val="15"/>
        <w:szCs w:val="16"/>
      </w:rPr>
      <w:fldChar w:fldCharType="separate"/>
    </w:r>
    <w:r w:rsidR="00270CBB">
      <w:rPr>
        <w:rFonts w:ascii="Times New Roman" w:hAnsi="Times New Roman"/>
        <w:noProof/>
        <w:sz w:val="15"/>
        <w:szCs w:val="16"/>
      </w:rPr>
      <w:t>2</w:t>
    </w:r>
    <w:r w:rsidRPr="007B50D4">
      <w:rPr>
        <w:rFonts w:ascii="Times New Roman" w:hAnsi="Times New Roman"/>
        <w:sz w:val="15"/>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1C" w:rsidRPr="003C6F71" w:rsidRDefault="00D9521C">
      <w:pPr>
        <w:rPr>
          <w:sz w:val="23"/>
          <w:szCs w:val="23"/>
        </w:rPr>
      </w:pPr>
      <w:r w:rsidRPr="003C6F71">
        <w:rPr>
          <w:sz w:val="23"/>
          <w:szCs w:val="23"/>
        </w:rPr>
        <w:separator/>
      </w:r>
    </w:p>
  </w:footnote>
  <w:footnote w:type="continuationSeparator" w:id="0">
    <w:p w:rsidR="00D9521C" w:rsidRPr="003C6F71" w:rsidRDefault="00D9521C">
      <w:pPr>
        <w:rPr>
          <w:sz w:val="23"/>
          <w:szCs w:val="23"/>
        </w:rPr>
      </w:pPr>
      <w:r w:rsidRPr="003C6F71">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0"/>
      <w:gridCol w:w="2430"/>
    </w:tblGrid>
    <w:tr w:rsidR="00792041" w:rsidRPr="00A22B14" w:rsidTr="00C272ED">
      <w:trPr>
        <w:trHeight w:val="20"/>
      </w:trPr>
      <w:tc>
        <w:tcPr>
          <w:tcW w:w="10490" w:type="dxa"/>
          <w:gridSpan w:val="2"/>
          <w:vAlign w:val="center"/>
        </w:tcPr>
        <w:p w:rsidR="00792041" w:rsidRDefault="00792041" w:rsidP="00C272ED">
          <w:pPr>
            <w:pStyle w:val="Kopfzeile"/>
            <w:rPr>
              <w:rFonts w:ascii="Times New Roman" w:hAnsi="Times New Roman"/>
              <w:sz w:val="16"/>
              <w:szCs w:val="16"/>
            </w:rPr>
          </w:pPr>
          <w:r w:rsidRPr="00A22B14">
            <w:rPr>
              <w:rFonts w:ascii="Times New Roman" w:hAnsi="Times New Roman"/>
              <w:sz w:val="16"/>
              <w:szCs w:val="16"/>
            </w:rPr>
            <w:t>Universitätsklinikum Freiburg</w:t>
          </w:r>
        </w:p>
        <w:p w:rsidR="00792041" w:rsidRPr="00A22B14" w:rsidRDefault="00792041" w:rsidP="00C272ED">
          <w:pPr>
            <w:pStyle w:val="Kopfzeile"/>
            <w:rPr>
              <w:rFonts w:ascii="Times New Roman" w:hAnsi="Times New Roman"/>
              <w:sz w:val="16"/>
              <w:szCs w:val="16"/>
            </w:rPr>
          </w:pPr>
          <w:r w:rsidRPr="00A22B14">
            <w:rPr>
              <w:rFonts w:ascii="Times New Roman" w:hAnsi="Times New Roman"/>
              <w:sz w:val="16"/>
              <w:szCs w:val="16"/>
            </w:rPr>
            <w:t>Institut für Transfusionsmedizin und Gentherapie</w:t>
          </w:r>
        </w:p>
      </w:tc>
    </w:tr>
    <w:tr w:rsidR="00792041" w:rsidRPr="00A22B14" w:rsidTr="00C272ED">
      <w:trPr>
        <w:trHeight w:val="20"/>
      </w:trPr>
      <w:tc>
        <w:tcPr>
          <w:tcW w:w="10490" w:type="dxa"/>
          <w:gridSpan w:val="2"/>
          <w:vAlign w:val="bottom"/>
        </w:tcPr>
        <w:p w:rsidR="00792041" w:rsidRPr="00A22B14" w:rsidRDefault="00792041" w:rsidP="00C272ED">
          <w:pPr>
            <w:pStyle w:val="Kopfzeile"/>
            <w:jc w:val="center"/>
            <w:rPr>
              <w:rFonts w:ascii="Times New Roman" w:hAnsi="Times New Roman"/>
              <w:b/>
              <w:sz w:val="16"/>
              <w:szCs w:val="16"/>
            </w:rPr>
          </w:pPr>
          <w:r>
            <w:rPr>
              <w:rFonts w:ascii="Times New Roman" w:hAnsi="Times New Roman"/>
              <w:b/>
              <w:szCs w:val="24"/>
            </w:rPr>
            <w:t>Gebrauchs- und Fachinformation</w:t>
          </w:r>
        </w:p>
      </w:tc>
    </w:tr>
    <w:tr w:rsidR="00792041" w:rsidRPr="00A22B14" w:rsidTr="00C272ED">
      <w:trPr>
        <w:trHeight w:val="20"/>
      </w:trPr>
      <w:tc>
        <w:tcPr>
          <w:tcW w:w="8060" w:type="dxa"/>
          <w:vAlign w:val="bottom"/>
        </w:tcPr>
        <w:p w:rsidR="00792041" w:rsidRPr="00A22B14" w:rsidRDefault="007E127B" w:rsidP="00C272ED">
          <w:pPr>
            <w:pStyle w:val="Kopfzeile"/>
            <w:rPr>
              <w:rFonts w:ascii="Times New Roman" w:hAnsi="Times New Roman"/>
              <w:b/>
              <w:sz w:val="20"/>
              <w:szCs w:val="24"/>
            </w:rPr>
          </w:pPr>
          <w:r>
            <w:rPr>
              <w:rFonts w:ascii="Times New Roman" w:hAnsi="Times New Roman"/>
              <w:b/>
              <w:sz w:val="20"/>
            </w:rPr>
            <w:t xml:space="preserve">Geforenes Frischplasma </w:t>
          </w:r>
          <w:r w:rsidRPr="00A22B14">
            <w:rPr>
              <w:rFonts w:ascii="Times New Roman" w:hAnsi="Times New Roman"/>
              <w:b/>
              <w:sz w:val="20"/>
            </w:rPr>
            <w:t>U-FR</w:t>
          </w:r>
        </w:p>
      </w:tc>
      <w:tc>
        <w:tcPr>
          <w:tcW w:w="2430" w:type="dxa"/>
          <w:vAlign w:val="bottom"/>
        </w:tcPr>
        <w:p w:rsidR="00792041" w:rsidRPr="00A22B14" w:rsidRDefault="007E127B" w:rsidP="00C272ED">
          <w:pPr>
            <w:pStyle w:val="Kopfzeile"/>
            <w:jc w:val="right"/>
            <w:rPr>
              <w:rFonts w:ascii="Times New Roman" w:hAnsi="Times New Roman"/>
              <w:sz w:val="20"/>
              <w:szCs w:val="24"/>
            </w:rPr>
          </w:pPr>
          <w:r w:rsidRPr="00A22B14">
            <w:rPr>
              <w:rFonts w:ascii="Times New Roman" w:hAnsi="Times New Roman"/>
              <w:b/>
              <w:sz w:val="20"/>
            </w:rPr>
            <w:t>PEI.H.0</w:t>
          </w:r>
          <w:r>
            <w:rPr>
              <w:rFonts w:ascii="Times New Roman" w:hAnsi="Times New Roman"/>
              <w:b/>
              <w:sz w:val="20"/>
            </w:rPr>
            <w:t>0497</w:t>
          </w:r>
          <w:r w:rsidRPr="00A22B14">
            <w:rPr>
              <w:rFonts w:ascii="Times New Roman" w:hAnsi="Times New Roman"/>
              <w:b/>
              <w:sz w:val="20"/>
            </w:rPr>
            <w:t>.01.1</w:t>
          </w:r>
        </w:p>
      </w:tc>
    </w:tr>
  </w:tbl>
  <w:p w:rsidR="00F77ED2" w:rsidRPr="00316F61" w:rsidRDefault="00F77ED2" w:rsidP="00BA68A0">
    <w:pPr>
      <w:pStyle w:val="Kopfzeile"/>
      <w:tabs>
        <w:tab w:val="clear" w:pos="9072"/>
        <w:tab w:val="right" w:pos="9923"/>
      </w:tabs>
      <w:ind w:right="-1"/>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lvl w:ilvl="0">
      <w:numFmt w:val="bullet"/>
      <w:lvlText w:val=""/>
      <w:lvlJc w:val="left"/>
      <w:pPr>
        <w:tabs>
          <w:tab w:val="num" w:pos="283"/>
        </w:tabs>
        <w:ind w:left="283" w:hanging="283"/>
      </w:pPr>
      <w:rPr>
        <w:rFonts w:ascii="Symbol" w:hAnsi="Symbol" w:cs="Symbol"/>
      </w:rPr>
    </w:lvl>
  </w:abstractNum>
  <w:abstractNum w:abstractNumId="2">
    <w:nsid w:val="0B642B68"/>
    <w:multiLevelType w:val="hybridMultilevel"/>
    <w:tmpl w:val="E8E2DD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43F6EE9"/>
    <w:multiLevelType w:val="hybridMultilevel"/>
    <w:tmpl w:val="1AA466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8897AB6"/>
    <w:multiLevelType w:val="hybridMultilevel"/>
    <w:tmpl w:val="1BFC171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C5D2EE7"/>
    <w:multiLevelType w:val="hybridMultilevel"/>
    <w:tmpl w:val="D6D08052"/>
    <w:lvl w:ilvl="0" w:tplc="2200C0A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AF"/>
    <w:rsid w:val="00003311"/>
    <w:rsid w:val="00012FD0"/>
    <w:rsid w:val="0005241F"/>
    <w:rsid w:val="00090D4A"/>
    <w:rsid w:val="000D4082"/>
    <w:rsid w:val="0017504C"/>
    <w:rsid w:val="0017541B"/>
    <w:rsid w:val="001760F9"/>
    <w:rsid w:val="00184C73"/>
    <w:rsid w:val="001A0C08"/>
    <w:rsid w:val="001C4FB4"/>
    <w:rsid w:val="001E3ED3"/>
    <w:rsid w:val="001E6EE0"/>
    <w:rsid w:val="001F6F30"/>
    <w:rsid w:val="00211262"/>
    <w:rsid w:val="00224809"/>
    <w:rsid w:val="00235DB4"/>
    <w:rsid w:val="002558A6"/>
    <w:rsid w:val="00270CBB"/>
    <w:rsid w:val="0028082A"/>
    <w:rsid w:val="00281E30"/>
    <w:rsid w:val="002A185B"/>
    <w:rsid w:val="002A617F"/>
    <w:rsid w:val="002C4D84"/>
    <w:rsid w:val="002D56D1"/>
    <w:rsid w:val="002E275F"/>
    <w:rsid w:val="00306153"/>
    <w:rsid w:val="0031338B"/>
    <w:rsid w:val="00316F61"/>
    <w:rsid w:val="00332FB9"/>
    <w:rsid w:val="00351EE4"/>
    <w:rsid w:val="00353038"/>
    <w:rsid w:val="00365AF5"/>
    <w:rsid w:val="00371A64"/>
    <w:rsid w:val="003A33F0"/>
    <w:rsid w:val="003B2815"/>
    <w:rsid w:val="003B46B2"/>
    <w:rsid w:val="003C6F71"/>
    <w:rsid w:val="003D7EA0"/>
    <w:rsid w:val="003E1A94"/>
    <w:rsid w:val="003E246D"/>
    <w:rsid w:val="00402CB8"/>
    <w:rsid w:val="00411AA9"/>
    <w:rsid w:val="004361CF"/>
    <w:rsid w:val="00461755"/>
    <w:rsid w:val="00490BE8"/>
    <w:rsid w:val="004A5660"/>
    <w:rsid w:val="004D6BBC"/>
    <w:rsid w:val="004D6CFF"/>
    <w:rsid w:val="004F7533"/>
    <w:rsid w:val="00544AD2"/>
    <w:rsid w:val="00557F36"/>
    <w:rsid w:val="00575874"/>
    <w:rsid w:val="005C0825"/>
    <w:rsid w:val="00614F3A"/>
    <w:rsid w:val="00645BBA"/>
    <w:rsid w:val="006466C7"/>
    <w:rsid w:val="00673E3A"/>
    <w:rsid w:val="00675347"/>
    <w:rsid w:val="00696845"/>
    <w:rsid w:val="006B3EC5"/>
    <w:rsid w:val="006C0016"/>
    <w:rsid w:val="006C297D"/>
    <w:rsid w:val="006D1FA3"/>
    <w:rsid w:val="00735A02"/>
    <w:rsid w:val="00747B23"/>
    <w:rsid w:val="00761A22"/>
    <w:rsid w:val="00772B21"/>
    <w:rsid w:val="007811FD"/>
    <w:rsid w:val="00792041"/>
    <w:rsid w:val="00796DB9"/>
    <w:rsid w:val="007A5157"/>
    <w:rsid w:val="007B2780"/>
    <w:rsid w:val="007B50D4"/>
    <w:rsid w:val="007D294E"/>
    <w:rsid w:val="007E09DC"/>
    <w:rsid w:val="007E127B"/>
    <w:rsid w:val="007F5085"/>
    <w:rsid w:val="007F7E55"/>
    <w:rsid w:val="0080102B"/>
    <w:rsid w:val="008016C1"/>
    <w:rsid w:val="0088211F"/>
    <w:rsid w:val="00895FB4"/>
    <w:rsid w:val="008C44C1"/>
    <w:rsid w:val="008C5CB0"/>
    <w:rsid w:val="008E5515"/>
    <w:rsid w:val="00914D0C"/>
    <w:rsid w:val="00991907"/>
    <w:rsid w:val="009C50AF"/>
    <w:rsid w:val="00A05736"/>
    <w:rsid w:val="00A22B14"/>
    <w:rsid w:val="00A30704"/>
    <w:rsid w:val="00A40263"/>
    <w:rsid w:val="00A83F36"/>
    <w:rsid w:val="00A85A1D"/>
    <w:rsid w:val="00A97E4A"/>
    <w:rsid w:val="00AA41A1"/>
    <w:rsid w:val="00AD14A5"/>
    <w:rsid w:val="00AF6734"/>
    <w:rsid w:val="00B2330F"/>
    <w:rsid w:val="00B3571E"/>
    <w:rsid w:val="00B421A2"/>
    <w:rsid w:val="00B4397D"/>
    <w:rsid w:val="00B77AD0"/>
    <w:rsid w:val="00B84785"/>
    <w:rsid w:val="00B90B56"/>
    <w:rsid w:val="00B9309A"/>
    <w:rsid w:val="00BA3006"/>
    <w:rsid w:val="00BA68A0"/>
    <w:rsid w:val="00BE07D0"/>
    <w:rsid w:val="00C02AA9"/>
    <w:rsid w:val="00C15B54"/>
    <w:rsid w:val="00C4355D"/>
    <w:rsid w:val="00C4593E"/>
    <w:rsid w:val="00C63865"/>
    <w:rsid w:val="00C63F52"/>
    <w:rsid w:val="00C83768"/>
    <w:rsid w:val="00C90FF3"/>
    <w:rsid w:val="00CB0F10"/>
    <w:rsid w:val="00CB405E"/>
    <w:rsid w:val="00CB52DA"/>
    <w:rsid w:val="00CD229B"/>
    <w:rsid w:val="00D22384"/>
    <w:rsid w:val="00D303A3"/>
    <w:rsid w:val="00D34DD8"/>
    <w:rsid w:val="00D9521C"/>
    <w:rsid w:val="00DE032D"/>
    <w:rsid w:val="00E10F0E"/>
    <w:rsid w:val="00E133B7"/>
    <w:rsid w:val="00E35D70"/>
    <w:rsid w:val="00E3778C"/>
    <w:rsid w:val="00E44BDA"/>
    <w:rsid w:val="00E525D6"/>
    <w:rsid w:val="00E54F56"/>
    <w:rsid w:val="00E6551A"/>
    <w:rsid w:val="00E66E66"/>
    <w:rsid w:val="00E92B46"/>
    <w:rsid w:val="00E97016"/>
    <w:rsid w:val="00EB22AC"/>
    <w:rsid w:val="00ED34F6"/>
    <w:rsid w:val="00ED69D5"/>
    <w:rsid w:val="00EF3024"/>
    <w:rsid w:val="00F12105"/>
    <w:rsid w:val="00F151C9"/>
    <w:rsid w:val="00F311F7"/>
    <w:rsid w:val="00F75104"/>
    <w:rsid w:val="00F77ED2"/>
    <w:rsid w:val="00FB6D85"/>
    <w:rsid w:val="00FE2168"/>
    <w:rsid w:val="00FE66A9"/>
    <w:rsid w:val="00FF03AC"/>
    <w:rsid w:val="00FF19F2"/>
    <w:rsid w:val="00FF2D7A"/>
    <w:rsid w:val="00FF7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2268"/>
        <w:tab w:val="left" w:pos="3402"/>
        <w:tab w:val="left" w:pos="4536"/>
        <w:tab w:val="left" w:pos="5670"/>
        <w:tab w:val="left" w:pos="6804"/>
        <w:tab w:val="left" w:pos="7938"/>
      </w:tabs>
    </w:pPr>
    <w:rPr>
      <w:rFonts w:ascii="Arial" w:hAnsi="Arial"/>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567"/>
        <w:tab w:val="clear" w:pos="1134"/>
        <w:tab w:val="clear" w:pos="2268"/>
        <w:tab w:val="clear" w:pos="3402"/>
        <w:tab w:val="clear" w:pos="5670"/>
        <w:tab w:val="clear" w:pos="6804"/>
        <w:tab w:val="clear" w:pos="7938"/>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lear" w:pos="567"/>
        <w:tab w:val="clear" w:pos="1134"/>
        <w:tab w:val="clear" w:pos="2268"/>
        <w:tab w:val="clear" w:pos="3402"/>
        <w:tab w:val="clear" w:pos="5670"/>
        <w:tab w:val="clear" w:pos="6804"/>
        <w:tab w:val="clear" w:pos="7938"/>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
    <w:name w:val="Body Text"/>
    <w:basedOn w:val="Standard"/>
    <w:link w:val="TextkrperZchn"/>
    <w:pPr>
      <w:jc w:val="both"/>
    </w:pPr>
  </w:style>
  <w:style w:type="paragraph" w:styleId="Textkrper-Einzug2">
    <w:name w:val="Body Text Indent 2"/>
    <w:basedOn w:val="Standard"/>
    <w:rsid w:val="00235DB4"/>
    <w:pPr>
      <w:spacing w:after="120" w:line="480" w:lineRule="auto"/>
      <w:ind w:left="283"/>
    </w:pPr>
    <w:rPr>
      <w:rFonts w:cs="Arial"/>
      <w:szCs w:val="24"/>
    </w:rPr>
  </w:style>
  <w:style w:type="table" w:styleId="Tabellenraster">
    <w:name w:val="Table Grid"/>
    <w:basedOn w:val="NormaleTabelle"/>
    <w:uiPriority w:val="59"/>
    <w:rsid w:val="00BA68A0"/>
    <w:pPr>
      <w:tabs>
        <w:tab w:val="left" w:pos="567"/>
        <w:tab w:val="left" w:pos="1134"/>
        <w:tab w:val="left" w:pos="2268"/>
        <w:tab w:val="left" w:pos="3402"/>
        <w:tab w:val="left" w:pos="4536"/>
        <w:tab w:val="left" w:pos="5670"/>
        <w:tab w:val="left" w:pos="6804"/>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44AD2"/>
    <w:rPr>
      <w:rFonts w:ascii="Arial" w:hAnsi="Arial"/>
      <w:sz w:val="24"/>
    </w:rPr>
  </w:style>
  <w:style w:type="character" w:customStyle="1" w:styleId="KopfzeileZchn">
    <w:name w:val="Kopfzeile Zchn"/>
    <w:basedOn w:val="Absatz-Standardschriftart"/>
    <w:link w:val="Kopfzeile"/>
    <w:rsid w:val="00A22B1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2268"/>
        <w:tab w:val="left" w:pos="3402"/>
        <w:tab w:val="left" w:pos="4536"/>
        <w:tab w:val="left" w:pos="5670"/>
        <w:tab w:val="left" w:pos="6804"/>
        <w:tab w:val="left" w:pos="7938"/>
      </w:tabs>
    </w:pPr>
    <w:rPr>
      <w:rFonts w:ascii="Arial" w:hAnsi="Arial"/>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567"/>
        <w:tab w:val="clear" w:pos="1134"/>
        <w:tab w:val="clear" w:pos="2268"/>
        <w:tab w:val="clear" w:pos="3402"/>
        <w:tab w:val="clear" w:pos="5670"/>
        <w:tab w:val="clear" w:pos="6804"/>
        <w:tab w:val="clear" w:pos="7938"/>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lear" w:pos="567"/>
        <w:tab w:val="clear" w:pos="1134"/>
        <w:tab w:val="clear" w:pos="2268"/>
        <w:tab w:val="clear" w:pos="3402"/>
        <w:tab w:val="clear" w:pos="5670"/>
        <w:tab w:val="clear" w:pos="6804"/>
        <w:tab w:val="clear" w:pos="7938"/>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
    <w:name w:val="Body Text"/>
    <w:basedOn w:val="Standard"/>
    <w:link w:val="TextkrperZchn"/>
    <w:pPr>
      <w:jc w:val="both"/>
    </w:pPr>
  </w:style>
  <w:style w:type="paragraph" w:styleId="Textkrper-Einzug2">
    <w:name w:val="Body Text Indent 2"/>
    <w:basedOn w:val="Standard"/>
    <w:rsid w:val="00235DB4"/>
    <w:pPr>
      <w:spacing w:after="120" w:line="480" w:lineRule="auto"/>
      <w:ind w:left="283"/>
    </w:pPr>
    <w:rPr>
      <w:rFonts w:cs="Arial"/>
      <w:szCs w:val="24"/>
    </w:rPr>
  </w:style>
  <w:style w:type="table" w:styleId="Tabellenraster">
    <w:name w:val="Table Grid"/>
    <w:basedOn w:val="NormaleTabelle"/>
    <w:uiPriority w:val="59"/>
    <w:rsid w:val="00BA68A0"/>
    <w:pPr>
      <w:tabs>
        <w:tab w:val="left" w:pos="567"/>
        <w:tab w:val="left" w:pos="1134"/>
        <w:tab w:val="left" w:pos="2268"/>
        <w:tab w:val="left" w:pos="3402"/>
        <w:tab w:val="left" w:pos="4536"/>
        <w:tab w:val="left" w:pos="5670"/>
        <w:tab w:val="left" w:pos="6804"/>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44AD2"/>
    <w:rPr>
      <w:rFonts w:ascii="Arial" w:hAnsi="Arial"/>
      <w:sz w:val="24"/>
    </w:rPr>
  </w:style>
  <w:style w:type="character" w:customStyle="1" w:styleId="KopfzeileZchn">
    <w:name w:val="Kopfzeile Zchn"/>
    <w:basedOn w:val="Absatz-Standardschriftart"/>
    <w:link w:val="Kopfzeile"/>
    <w:rsid w:val="00A22B1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2610-CECE-4E06-AEF0-1C980394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1628</Words>
  <Characters>10262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Vorschlag:Mustergebrauchs-und Fachinfo</vt:lpstr>
    </vt:vector>
  </TitlesOfParts>
  <Company>Uniklinikum Freiburg</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Vorschlag:Mustergebrauchs-und Fachinfo</dc:title>
  <dc:subject>GFP</dc:subject>
  <dc:creator>PEI-BENUTZER</dc:creator>
  <cp:lastModifiedBy>Judith Eva Rechler</cp:lastModifiedBy>
  <cp:revision>8</cp:revision>
  <cp:lastPrinted>2021-04-07T10:59:00Z</cp:lastPrinted>
  <dcterms:created xsi:type="dcterms:W3CDTF">2021-05-04T13:31:00Z</dcterms:created>
  <dcterms:modified xsi:type="dcterms:W3CDTF">2021-05-12T09:15:00Z</dcterms:modified>
</cp:coreProperties>
</file>