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1" w:type="dxa"/>
        <w:tblLayout w:type="fixed"/>
        <w:tblCellMar>
          <w:left w:w="71" w:type="dxa"/>
          <w:right w:w="71" w:type="dxa"/>
        </w:tblCellMar>
        <w:tblLook w:val="0000" w:firstRow="0" w:lastRow="0" w:firstColumn="0" w:lastColumn="0" w:noHBand="0" w:noVBand="0"/>
      </w:tblPr>
      <w:tblGrid>
        <w:gridCol w:w="496"/>
        <w:gridCol w:w="4749"/>
        <w:gridCol w:w="5245"/>
      </w:tblGrid>
      <w:tr w:rsidR="00355E9F" w:rsidRPr="00792041" w:rsidTr="00772B21">
        <w:tc>
          <w:tcPr>
            <w:tcW w:w="496" w:type="dxa"/>
          </w:tcPr>
          <w:p w:rsidR="00355E9F" w:rsidRPr="00792041" w:rsidRDefault="00355E9F" w:rsidP="00772B21">
            <w:pPr>
              <w:jc w:val="both"/>
              <w:rPr>
                <w:rFonts w:ascii="Times New Roman" w:hAnsi="Times New Roman"/>
                <w:b/>
                <w:sz w:val="16"/>
                <w:szCs w:val="16"/>
              </w:rPr>
            </w:pPr>
            <w:r w:rsidRPr="00792041">
              <w:rPr>
                <w:rFonts w:ascii="Times New Roman" w:hAnsi="Times New Roman"/>
                <w:b/>
                <w:sz w:val="16"/>
                <w:szCs w:val="16"/>
              </w:rPr>
              <w:t>1.</w:t>
            </w: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Identifizierung des Arzneimittels</w:t>
            </w:r>
          </w:p>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a) Bezeichnung</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Thrombozytapheresekonzentrat U-FR, leukozytendepletiert, bestrahlt</w:t>
            </w:r>
          </w:p>
        </w:tc>
      </w:tr>
      <w:tr w:rsidR="00355E9F" w:rsidRPr="00792041" w:rsidTr="00772B21">
        <w:tc>
          <w:tcPr>
            <w:tcW w:w="496" w:type="dxa"/>
          </w:tcPr>
          <w:p w:rsidR="00355E9F" w:rsidRPr="00792041" w:rsidRDefault="00355E9F" w:rsidP="00772B21">
            <w:pPr>
              <w:jc w:val="both"/>
              <w:rPr>
                <w:rFonts w:ascii="Times New Roman" w:hAnsi="Times New Roman"/>
                <w:sz w:val="16"/>
                <w:szCs w:val="16"/>
              </w:rPr>
            </w:pP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b) Stoffgrupp</w:t>
            </w:r>
            <w:bookmarkStart w:id="0" w:name="_GoBack"/>
            <w:bookmarkEnd w:id="0"/>
            <w:r w:rsidRPr="00D91B1A">
              <w:rPr>
                <w:rFonts w:ascii="Times New Roman" w:hAnsi="Times New Roman"/>
                <w:b/>
                <w:sz w:val="16"/>
                <w:szCs w:val="16"/>
              </w:rPr>
              <w:t xml:space="preserve">e </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zelluläre Blutzubereitung, Thrombozyten zur Transfusion</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r w:rsidRPr="00792041">
              <w:rPr>
                <w:rFonts w:ascii="Times New Roman" w:hAnsi="Times New Roman"/>
                <w:b/>
                <w:sz w:val="16"/>
                <w:szCs w:val="16"/>
              </w:rPr>
              <w:t>2.</w:t>
            </w: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Anwendungsgebiete</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Die Gabe von Thrombozytenkonzentraten ist indiziert zur Behandlung einer Blutungsneigung, bedingt durch eine schwere</w:t>
            </w:r>
            <w:r w:rsidR="008B65F7">
              <w:rPr>
                <w:rFonts w:ascii="Times New Roman" w:hAnsi="Times New Roman"/>
                <w:sz w:val="16"/>
                <w:szCs w:val="16"/>
              </w:rPr>
              <w:t xml:space="preserve"> Thrombozytopenie infolge thrombo</w:t>
            </w:r>
            <w:r w:rsidRPr="00D91B1A">
              <w:rPr>
                <w:rFonts w:ascii="Times New Roman" w:hAnsi="Times New Roman"/>
                <w:sz w:val="16"/>
                <w:szCs w:val="16"/>
              </w:rPr>
              <w:t>zytärer Bildungsstörungen, im Notfall auch bei Umsatzstörungen, jedoch nicht bei einer niedrigen Thrombozytenzahl allein. D</w:t>
            </w:r>
            <w:r w:rsidR="008B65F7">
              <w:rPr>
                <w:rFonts w:ascii="Times New Roman" w:hAnsi="Times New Roman"/>
                <w:sz w:val="16"/>
                <w:szCs w:val="16"/>
              </w:rPr>
              <w:t>amit durch die Zufuhr von Plätt</w:t>
            </w:r>
            <w:r w:rsidRPr="00D91B1A">
              <w:rPr>
                <w:rFonts w:ascii="Times New Roman" w:hAnsi="Times New Roman"/>
                <w:sz w:val="16"/>
                <w:szCs w:val="16"/>
              </w:rPr>
              <w:t>chen eine Besserung der thrombozytär bedingten Blutungsneigung zu erwarten ist, sollte vor der Behandlung zunächst deren Ursache abgeklärt werden.</w:t>
            </w:r>
          </w:p>
          <w:p w:rsidR="00355E9F" w:rsidRPr="00D91B1A" w:rsidRDefault="008B65F7" w:rsidP="0075351F">
            <w:pPr>
              <w:jc w:val="both"/>
              <w:rPr>
                <w:rFonts w:ascii="Times New Roman" w:hAnsi="Times New Roman"/>
                <w:sz w:val="16"/>
                <w:szCs w:val="16"/>
              </w:rPr>
            </w:pPr>
            <w:r>
              <w:rPr>
                <w:rFonts w:ascii="Times New Roman" w:hAnsi="Times New Roman"/>
                <w:sz w:val="16"/>
                <w:szCs w:val="16"/>
              </w:rPr>
              <w:t>Das mit mindestens 25</w:t>
            </w:r>
            <w:r w:rsidRPr="000709B0">
              <w:rPr>
                <w:rFonts w:ascii="Times New Roman" w:hAnsi="Times New Roman"/>
                <w:sz w:val="16"/>
                <w:szCs w:val="16"/>
              </w:rPr>
              <w:t> </w:t>
            </w:r>
            <w:r w:rsidR="00355E9F" w:rsidRPr="00D91B1A">
              <w:rPr>
                <w:rFonts w:ascii="Times New Roman" w:hAnsi="Times New Roman"/>
                <w:sz w:val="16"/>
                <w:szCs w:val="16"/>
              </w:rPr>
              <w:t>Gy bestrahlte Thrombozytenkonzentrat ist besonders geeignet zur Anwendung bei gefährdeten Patienten, bei denen eine transfu</w:t>
            </w:r>
            <w:r w:rsidR="00EF1334">
              <w:rPr>
                <w:rFonts w:ascii="Times New Roman" w:hAnsi="Times New Roman"/>
                <w:sz w:val="16"/>
                <w:szCs w:val="16"/>
              </w:rPr>
              <w:t>sions</w:t>
            </w:r>
            <w:r w:rsidR="00355E9F" w:rsidRPr="00D91B1A">
              <w:rPr>
                <w:rFonts w:ascii="Times New Roman" w:hAnsi="Times New Roman"/>
                <w:sz w:val="16"/>
                <w:szCs w:val="16"/>
              </w:rPr>
              <w:t xml:space="preserve">assoziierte Graft-versus-Host-Reaktion vermieden werden soll, wie </w:t>
            </w:r>
          </w:p>
          <w:p w:rsidR="00355E9F" w:rsidRPr="00D91B1A" w:rsidRDefault="00355E9F" w:rsidP="0075351F">
            <w:pPr>
              <w:numPr>
                <w:ilvl w:val="0"/>
                <w:numId w:val="1"/>
              </w:numPr>
              <w:tabs>
                <w:tab w:val="left" w:pos="9072"/>
              </w:tabs>
              <w:ind w:right="638"/>
              <w:jc w:val="both"/>
              <w:rPr>
                <w:rFonts w:ascii="Times New Roman" w:hAnsi="Times New Roman"/>
                <w:sz w:val="16"/>
                <w:szCs w:val="16"/>
              </w:rPr>
            </w:pPr>
            <w:r w:rsidRPr="00D91B1A">
              <w:rPr>
                <w:rFonts w:ascii="Times New Roman" w:hAnsi="Times New Roman"/>
                <w:sz w:val="16"/>
                <w:szCs w:val="16"/>
              </w:rPr>
              <w:t>Föten (intrauterine Transfusion)</w:t>
            </w:r>
          </w:p>
          <w:p w:rsidR="00355E9F" w:rsidRPr="00D91B1A" w:rsidRDefault="00355E9F" w:rsidP="0075351F">
            <w:pPr>
              <w:numPr>
                <w:ilvl w:val="0"/>
                <w:numId w:val="1"/>
              </w:numPr>
              <w:tabs>
                <w:tab w:val="left" w:pos="9072"/>
              </w:tabs>
              <w:ind w:right="638"/>
              <w:jc w:val="both"/>
              <w:rPr>
                <w:rFonts w:ascii="Times New Roman" w:hAnsi="Times New Roman"/>
                <w:sz w:val="16"/>
                <w:szCs w:val="16"/>
              </w:rPr>
            </w:pPr>
            <w:r w:rsidRPr="00D91B1A">
              <w:rPr>
                <w:rFonts w:ascii="Times New Roman" w:hAnsi="Times New Roman"/>
                <w:sz w:val="16"/>
                <w:szCs w:val="16"/>
              </w:rPr>
              <w:t xml:space="preserve">Neugeborenen nach intrauterinen Transfusionen </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 xml:space="preserve">Neugeborenen bei Verdacht auf Immundefizienz, </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Neugeborenen bei postpartaler Austauschtransfusion</w:t>
            </w:r>
          </w:p>
          <w:p w:rsidR="00355E9F" w:rsidRPr="00D91B1A" w:rsidRDefault="00355E9F" w:rsidP="0075351F">
            <w:pPr>
              <w:numPr>
                <w:ilvl w:val="0"/>
                <w:numId w:val="1"/>
              </w:numPr>
              <w:tabs>
                <w:tab w:val="left" w:pos="9072"/>
              </w:tabs>
              <w:ind w:right="638"/>
              <w:jc w:val="both"/>
              <w:rPr>
                <w:rFonts w:ascii="Times New Roman" w:hAnsi="Times New Roman"/>
                <w:sz w:val="16"/>
                <w:szCs w:val="16"/>
              </w:rPr>
            </w:pPr>
            <w:r w:rsidRPr="00D91B1A">
              <w:rPr>
                <w:rFonts w:ascii="Times New Roman" w:hAnsi="Times New Roman"/>
                <w:sz w:val="16"/>
                <w:szCs w:val="16"/>
              </w:rPr>
              <w:t>Patienten mit schwerem Immundefektsyndrom (SCID)</w:t>
            </w:r>
          </w:p>
          <w:p w:rsidR="00355E9F" w:rsidRPr="00D91B1A" w:rsidRDefault="00355E9F" w:rsidP="0075351F">
            <w:pPr>
              <w:numPr>
                <w:ilvl w:val="0"/>
                <w:numId w:val="1"/>
              </w:numPr>
              <w:tabs>
                <w:tab w:val="left" w:pos="9072"/>
              </w:tabs>
              <w:ind w:right="638"/>
              <w:jc w:val="both"/>
              <w:rPr>
                <w:rFonts w:ascii="Times New Roman" w:hAnsi="Times New Roman"/>
                <w:sz w:val="16"/>
                <w:szCs w:val="16"/>
              </w:rPr>
            </w:pPr>
            <w:r w:rsidRPr="00D91B1A">
              <w:rPr>
                <w:rFonts w:ascii="Times New Roman" w:hAnsi="Times New Roman"/>
                <w:sz w:val="16"/>
                <w:szCs w:val="16"/>
              </w:rPr>
              <w:t xml:space="preserve">HLA-ausgewählte Thrombozytenkonzentrate </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 xml:space="preserve">Patienten bei allogener Transplantation hämatopoetischer Stammzellen (aus peripherem Blut, Knochenmark oder Nabelschnurblut) </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Patienten mit M. Hodgkin und Non-Hodgkin-Lymphomen (alle Stadien)</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Patienten bei Therapie mit Purin-Analoga (z.B. Fludarabin, Cladrabin, Deoxycoformycin)</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Pat</w:t>
            </w:r>
            <w:r w:rsidR="008B65F7">
              <w:rPr>
                <w:rFonts w:ascii="Times New Roman" w:hAnsi="Times New Roman"/>
                <w:sz w:val="16"/>
                <w:szCs w:val="16"/>
              </w:rPr>
              <w:t>ienten 7 -</w:t>
            </w:r>
            <w:r w:rsidRPr="00D91B1A">
              <w:rPr>
                <w:rFonts w:ascii="Times New Roman" w:hAnsi="Times New Roman"/>
                <w:sz w:val="16"/>
                <w:szCs w:val="16"/>
              </w:rPr>
              <w:t xml:space="preserve"> 14 Tage vor autologer Stammzellentnahme</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Patienten bei autologer Stammzelltransplantation (bis ca. drei Monate nach Transplantation)</w:t>
            </w:r>
          </w:p>
          <w:p w:rsidR="00355E9F" w:rsidRPr="00D91B1A" w:rsidRDefault="00355E9F" w:rsidP="0075351F">
            <w:pPr>
              <w:ind w:right="284"/>
              <w:jc w:val="both"/>
              <w:rPr>
                <w:rFonts w:ascii="Times New Roman" w:hAnsi="Times New Roman"/>
                <w:sz w:val="16"/>
                <w:szCs w:val="16"/>
              </w:rPr>
            </w:pPr>
          </w:p>
          <w:p w:rsidR="00355E9F" w:rsidRPr="00D91B1A" w:rsidRDefault="00355E9F" w:rsidP="0075351F">
            <w:pPr>
              <w:ind w:right="284"/>
              <w:jc w:val="both"/>
              <w:rPr>
                <w:rFonts w:ascii="Times New Roman" w:hAnsi="Times New Roman"/>
                <w:sz w:val="16"/>
                <w:szCs w:val="16"/>
              </w:rPr>
            </w:pPr>
            <w:r w:rsidRPr="00D91B1A">
              <w:rPr>
                <w:rFonts w:ascii="Times New Roman" w:hAnsi="Times New Roman"/>
                <w:sz w:val="16"/>
                <w:szCs w:val="16"/>
              </w:rPr>
              <w:t>Empfohlen wird die Ver</w:t>
            </w:r>
            <w:r>
              <w:rPr>
                <w:rFonts w:ascii="Times New Roman" w:hAnsi="Times New Roman"/>
                <w:sz w:val="16"/>
                <w:szCs w:val="16"/>
              </w:rPr>
              <w:t>wendung von bestrahlten Thrombo</w:t>
            </w:r>
            <w:r w:rsidRPr="00D91B1A">
              <w:rPr>
                <w:rFonts w:ascii="Times New Roman" w:hAnsi="Times New Roman"/>
                <w:sz w:val="16"/>
                <w:szCs w:val="16"/>
              </w:rPr>
              <w:t>zytenkonzentraten für:</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Patienten mit schwächeren Formen angeborener Immundefizienz</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Patienten nach allogener Transplantation hämatopoetischer Stammzellen bis zur Immunrekonstitution bzw. mindestens 6 Monate nach der Transplantation</w:t>
            </w:r>
            <w:r w:rsidRPr="00D91B1A">
              <w:rPr>
                <w:rFonts w:ascii="Times New Roman" w:hAnsi="Times New Roman"/>
                <w:i/>
                <w:sz w:val="16"/>
                <w:szCs w:val="16"/>
              </w:rPr>
              <w:t xml:space="preserve"> </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Patienten mit Graft-versus-Host-Reaktion nach allogener Transplantation hämatopoetischer Stammzellen</w:t>
            </w:r>
          </w:p>
          <w:p w:rsidR="00355E9F" w:rsidRPr="00D91B1A" w:rsidRDefault="00355E9F" w:rsidP="0075351F">
            <w:pPr>
              <w:ind w:right="284"/>
              <w:jc w:val="both"/>
              <w:rPr>
                <w:rFonts w:ascii="Times New Roman" w:hAnsi="Times New Roman"/>
                <w:strike/>
                <w:sz w:val="16"/>
                <w:szCs w:val="16"/>
              </w:rPr>
            </w:pP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Keine ausreichende Evidenz liegt vor für die Ver</w:t>
            </w:r>
            <w:r>
              <w:rPr>
                <w:rFonts w:ascii="Times New Roman" w:hAnsi="Times New Roman"/>
                <w:sz w:val="16"/>
                <w:szCs w:val="16"/>
              </w:rPr>
              <w:t>wendung von bestrahlten Thrombo</w:t>
            </w:r>
            <w:r w:rsidRPr="00D91B1A">
              <w:rPr>
                <w:rFonts w:ascii="Times New Roman" w:hAnsi="Times New Roman"/>
                <w:sz w:val="16"/>
                <w:szCs w:val="16"/>
              </w:rPr>
              <w:t>zytenkonzentraten bei:</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Frühgeborenen (bis zur Vollendung der 37. Schwangerschaftswoche)</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Patienten mit AIDS, Leukämie und soliden Tumoren, inkl. Rhabdomyosarkom und Neuroblastom</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r w:rsidRPr="00792041">
              <w:rPr>
                <w:rFonts w:ascii="Times New Roman" w:hAnsi="Times New Roman"/>
                <w:b/>
                <w:sz w:val="16"/>
                <w:szCs w:val="16"/>
              </w:rPr>
              <w:t>3.</w:t>
            </w: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Informationen zur Anwendung</w:t>
            </w:r>
          </w:p>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a) Gegenanzeigen</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Absolut:</w:t>
            </w:r>
          </w:p>
          <w:p w:rsidR="00355E9F" w:rsidRPr="008B65F7" w:rsidRDefault="00355E9F" w:rsidP="008B65F7">
            <w:pPr>
              <w:pStyle w:val="Listenabsatz"/>
              <w:numPr>
                <w:ilvl w:val="0"/>
                <w:numId w:val="6"/>
              </w:numPr>
              <w:jc w:val="both"/>
              <w:rPr>
                <w:rFonts w:ascii="Times New Roman" w:hAnsi="Times New Roman"/>
                <w:sz w:val="16"/>
                <w:szCs w:val="16"/>
              </w:rPr>
            </w:pPr>
            <w:r w:rsidRPr="008B65F7">
              <w:rPr>
                <w:rFonts w:ascii="Times New Roman" w:hAnsi="Times New Roman"/>
                <w:sz w:val="16"/>
                <w:szCs w:val="16"/>
              </w:rPr>
              <w:t xml:space="preserve">Eine absolute Kontraindikation für Thrombozytentransfusionen gibt es nicht. </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Relativ:</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Bei potentiellen Empfängern eines Stammzelltransplantates (Knochenmark, periphere Stammzellen, Nabelschnurblut), z.B. bei Patienten mit aplasti</w:t>
            </w:r>
            <w:r w:rsidR="008B65F7">
              <w:rPr>
                <w:rFonts w:ascii="Times New Roman" w:hAnsi="Times New Roman"/>
                <w:sz w:val="16"/>
                <w:szCs w:val="16"/>
              </w:rPr>
              <w:t>schen Anä</w:t>
            </w:r>
            <w:r w:rsidRPr="00D91B1A">
              <w:rPr>
                <w:rFonts w:ascii="Times New Roman" w:hAnsi="Times New Roman"/>
                <w:sz w:val="16"/>
                <w:szCs w:val="16"/>
              </w:rPr>
              <w:t>mien, Leukämien etc., ist die Gabe von Thr</w:t>
            </w:r>
            <w:r>
              <w:rPr>
                <w:rFonts w:ascii="Times New Roman" w:hAnsi="Times New Roman"/>
                <w:sz w:val="16"/>
                <w:szCs w:val="16"/>
              </w:rPr>
              <w:t>ombozytenkonzentraten des Transplan</w:t>
            </w:r>
            <w:r w:rsidRPr="00D91B1A">
              <w:rPr>
                <w:rFonts w:ascii="Times New Roman" w:hAnsi="Times New Roman"/>
                <w:sz w:val="16"/>
                <w:szCs w:val="16"/>
              </w:rPr>
              <w:t>tatspenders und seiner Blutsverwandten vor der Transplantation unbedingt zu vermeiden.</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bekannten Überempfindlichkeiten des Empfängers gegen humane Plasmaproteine,</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bekannten Immunthrombozytopenien,</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 xml:space="preserve">posttransfusioneller Purpura, </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 xml:space="preserve">heparininduzierter Thrombozytopenie, </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kongenitalen Thrombozytenfunktionsstör</w:t>
            </w:r>
            <w:r>
              <w:rPr>
                <w:rFonts w:ascii="Times New Roman" w:hAnsi="Times New Roman"/>
                <w:sz w:val="16"/>
                <w:szCs w:val="16"/>
              </w:rPr>
              <w:t>ungen, wie Thrombasthenie Glanz</w:t>
            </w:r>
            <w:r w:rsidRPr="00D91B1A">
              <w:rPr>
                <w:rFonts w:ascii="Times New Roman" w:hAnsi="Times New Roman"/>
                <w:sz w:val="16"/>
                <w:szCs w:val="16"/>
              </w:rPr>
              <w:t>mann oder Bernard-Soulier-Syndrom.</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numPr>
                <w:ilvl w:val="12"/>
                <w:numId w:val="0"/>
              </w:numPr>
              <w:jc w:val="both"/>
              <w:rPr>
                <w:rFonts w:ascii="Times New Roman" w:hAnsi="Times New Roman"/>
                <w:b/>
                <w:sz w:val="16"/>
                <w:szCs w:val="16"/>
              </w:rPr>
            </w:pPr>
            <w:r w:rsidRPr="00D91B1A">
              <w:rPr>
                <w:rFonts w:ascii="Times New Roman" w:hAnsi="Times New Roman"/>
                <w:b/>
                <w:sz w:val="16"/>
                <w:szCs w:val="16"/>
              </w:rPr>
              <w:t xml:space="preserve">b) Vorsichtsmaßnahmen für die Anwendung </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Thrombozytenkonzentrate sind in der Regel AB0-kompatibel über ein Transfusionsgerät mit Standardfi</w:t>
            </w:r>
            <w:r w:rsidR="008B65F7">
              <w:rPr>
                <w:rFonts w:ascii="Times New Roman" w:hAnsi="Times New Roman"/>
                <w:sz w:val="16"/>
                <w:szCs w:val="16"/>
              </w:rPr>
              <w:t>lter der Porengröße 170 bis 230</w:t>
            </w:r>
            <w:r w:rsidR="008B65F7" w:rsidRPr="000709B0">
              <w:rPr>
                <w:rFonts w:ascii="Times New Roman" w:hAnsi="Times New Roman"/>
                <w:sz w:val="16"/>
                <w:szCs w:val="16"/>
              </w:rPr>
              <w:t> </w:t>
            </w:r>
            <w:r w:rsidRPr="00D91B1A">
              <w:rPr>
                <w:rFonts w:ascii="Times New Roman" w:hAnsi="Times New Roman"/>
                <w:sz w:val="16"/>
                <w:szCs w:val="16"/>
              </w:rPr>
              <w:t>µm zu trans</w:t>
            </w:r>
            <w:r w:rsidRPr="00D91B1A">
              <w:rPr>
                <w:rFonts w:ascii="Times New Roman" w:hAnsi="Times New Roman"/>
                <w:sz w:val="16"/>
                <w:szCs w:val="16"/>
              </w:rPr>
              <w:softHyphen/>
              <w:t>fundieren.</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Beim Refraktärzustand gegenüber Thrombozytentransfusionen aufgrund einer Alloimmunisierung gegen Antigene des HLA- und</w:t>
            </w:r>
            <w:r w:rsidR="008B65F7">
              <w:rPr>
                <w:rFonts w:ascii="Times New Roman" w:hAnsi="Times New Roman"/>
                <w:sz w:val="16"/>
                <w:szCs w:val="16"/>
              </w:rPr>
              <w:t xml:space="preserve"> ggf. HPA-Systems sind nach Mög</w:t>
            </w:r>
            <w:r w:rsidRPr="00D91B1A">
              <w:rPr>
                <w:rFonts w:ascii="Times New Roman" w:hAnsi="Times New Roman"/>
                <w:sz w:val="16"/>
                <w:szCs w:val="16"/>
              </w:rPr>
              <w:t>lichkeit HLA-Klasse-I-kompatible und g</w:t>
            </w:r>
            <w:r>
              <w:rPr>
                <w:rFonts w:ascii="Times New Roman" w:hAnsi="Times New Roman"/>
                <w:sz w:val="16"/>
                <w:szCs w:val="16"/>
              </w:rPr>
              <w:t>gf. HPA-kompatible Thrombozytenkon</w:t>
            </w:r>
            <w:r w:rsidRPr="00D91B1A">
              <w:rPr>
                <w:rFonts w:ascii="Times New Roman" w:hAnsi="Times New Roman"/>
                <w:sz w:val="16"/>
                <w:szCs w:val="16"/>
              </w:rPr>
              <w:t>zentrate zu transfundieren. Die Transfusionsgeschwindigkeit muss d</w:t>
            </w:r>
            <w:r w:rsidR="008B65F7">
              <w:rPr>
                <w:rFonts w:ascii="Times New Roman" w:hAnsi="Times New Roman"/>
                <w:sz w:val="16"/>
                <w:szCs w:val="16"/>
              </w:rPr>
              <w:t>em kli</w:t>
            </w:r>
            <w:r w:rsidRPr="00D91B1A">
              <w:rPr>
                <w:rFonts w:ascii="Times New Roman" w:hAnsi="Times New Roman"/>
                <w:sz w:val="16"/>
                <w:szCs w:val="16"/>
              </w:rPr>
              <w:t>nischen Zustand des Patienten angepasst werden.</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Bei neonataler Transfusion sollte sorgfältig auf Anzeichen einer Zitratintoxikation geachtet und die Transfusionsgeschwindigkeit dem klinischen Zustand angepasst werden.</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 xml:space="preserve">Die zusätzliche Testung auf Anti-CMV-Antikörper, um eine CMV-Infektion in besonders gefährdeten Patientengruppen zu vermeiden (s.u.), führt u.U. nicht zu einem Sicherheitsgewinn und wird daher für Leukozyten-depletierte Thrombozytenkonzentrate nicht empfohlen. </w:t>
            </w:r>
          </w:p>
          <w:p w:rsidR="00355E9F" w:rsidRPr="00D91B1A" w:rsidRDefault="00355E9F" w:rsidP="0075351F">
            <w:pPr>
              <w:jc w:val="both"/>
              <w:rPr>
                <w:rFonts w:ascii="Times New Roman" w:hAnsi="Times New Roman"/>
                <w:sz w:val="16"/>
                <w:szCs w:val="16"/>
              </w:rPr>
            </w:pP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 xml:space="preserve">Eine CMV-Infektion kann bei </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Föten</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Frühgeborenen</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Patienten mit erworbenen (AIDS) oder angeborenen Immundefekten</w:t>
            </w:r>
          </w:p>
          <w:p w:rsidR="00355E9F" w:rsidRPr="00D91B1A" w:rsidRDefault="00355E9F" w:rsidP="0075351F">
            <w:pPr>
              <w:numPr>
                <w:ilvl w:val="0"/>
                <w:numId w:val="1"/>
              </w:numPr>
              <w:ind w:right="284"/>
              <w:jc w:val="both"/>
              <w:rPr>
                <w:rFonts w:ascii="Times New Roman" w:hAnsi="Times New Roman"/>
                <w:sz w:val="16"/>
                <w:szCs w:val="16"/>
              </w:rPr>
            </w:pPr>
            <w:r w:rsidRPr="00D91B1A">
              <w:rPr>
                <w:rFonts w:ascii="Times New Roman" w:hAnsi="Times New Roman"/>
                <w:sz w:val="16"/>
                <w:szCs w:val="16"/>
              </w:rPr>
              <w:t>Empfängern eines allogenen Stammzellpräparates</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zu schweren Erkrankungen führen.</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c) Wechselwirkungen mit anderen Arzneimitteln, soweit sie die Wirkungs</w:t>
            </w:r>
            <w:r w:rsidRPr="00D91B1A">
              <w:rPr>
                <w:rFonts w:ascii="Times New Roman" w:hAnsi="Times New Roman"/>
                <w:b/>
                <w:sz w:val="16"/>
                <w:szCs w:val="16"/>
              </w:rPr>
              <w:softHyphen/>
              <w:t>weise des Arzneimittels beeinflussen können und Hauptinkompatibilitäten</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Durch Medikamente, die die Thrombozytenfunktion beeinflussen, kann die Wir</w:t>
            </w:r>
            <w:r w:rsidRPr="00D91B1A">
              <w:rPr>
                <w:rFonts w:ascii="Times New Roman" w:hAnsi="Times New Roman"/>
                <w:sz w:val="16"/>
                <w:szCs w:val="16"/>
              </w:rPr>
              <w:softHyphen/>
              <w:t>kung von Thrombozytenkonzentraten vermindert bzw. aufgehoben werden. Wegen der Gefahr von Gerinnselbildungen dürfen kalziumhaltige Lösungen nicht gleichzeitig in demselben Schlauchsystem gegeben werden. Die Beimischung von Medikamenten zum Thrombozytenkonzentrat ist nicht zulässig.</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d) Verwendung für besondere Personengruppen</w:t>
            </w:r>
          </w:p>
          <w:p w:rsidR="00355E9F" w:rsidRPr="00D91B1A" w:rsidRDefault="00355E9F" w:rsidP="0075351F">
            <w:pPr>
              <w:numPr>
                <w:ilvl w:val="12"/>
                <w:numId w:val="0"/>
              </w:numPr>
              <w:jc w:val="both"/>
              <w:rPr>
                <w:rFonts w:ascii="Times New Roman" w:hAnsi="Times New Roman"/>
                <w:color w:val="000000"/>
                <w:sz w:val="16"/>
                <w:szCs w:val="16"/>
              </w:rPr>
            </w:pPr>
            <w:r w:rsidRPr="00D91B1A">
              <w:rPr>
                <w:rFonts w:ascii="Times New Roman" w:hAnsi="Times New Roman"/>
                <w:color w:val="000000"/>
                <w:sz w:val="16"/>
                <w:szCs w:val="16"/>
                <w:u w:val="single"/>
              </w:rPr>
              <w:t>Bei Rh(D) - negativen Patienten</w:t>
            </w:r>
            <w:r w:rsidRPr="00D91B1A">
              <w:rPr>
                <w:rFonts w:ascii="Times New Roman" w:hAnsi="Times New Roman"/>
                <w:color w:val="000000"/>
                <w:sz w:val="16"/>
                <w:szCs w:val="16"/>
              </w:rPr>
              <w:t xml:space="preserve"> besteht wegen der praktisch in allen Thrombozytenkonzentraten vorhandenen Kontamination mit Erythrozyten bei Transfusion von Thrombozytenkonzentraten Rh (D)-positiver Spender das äußerst geringe Risiko einer Sensibilisierung gegen das Rhesusmerkmal D. Die Transfusion von Thrombozytenkonzentraten Rh (D)-positiver Spender in Rh (D)-negative Patienten lässt sich wegen des Mangels an Rh (D)-negativem Blut nicht immer vermeiden, sollte nach Möglichkeit aber nur in Betracht gezogen werden, wenn es sich um Männer oder um Frauen im nicht gebärfähigen Alter handelt. </w:t>
            </w:r>
          </w:p>
          <w:p w:rsidR="00355E9F" w:rsidRPr="00D91B1A" w:rsidRDefault="00355E9F" w:rsidP="0075351F">
            <w:pPr>
              <w:numPr>
                <w:ilvl w:val="12"/>
                <w:numId w:val="0"/>
              </w:numPr>
              <w:jc w:val="both"/>
              <w:rPr>
                <w:rFonts w:ascii="Times New Roman" w:hAnsi="Times New Roman"/>
                <w:color w:val="000000"/>
                <w:sz w:val="16"/>
                <w:szCs w:val="16"/>
              </w:rPr>
            </w:pPr>
            <w:r w:rsidRPr="00D91B1A">
              <w:rPr>
                <w:rFonts w:ascii="Times New Roman" w:hAnsi="Times New Roman"/>
                <w:color w:val="000000"/>
                <w:sz w:val="16"/>
                <w:szCs w:val="16"/>
                <w:u w:val="single"/>
              </w:rPr>
              <w:t>Bei Rh (D) - negativen Mädchen und Frauen im gebärfähigen Alter</w:t>
            </w:r>
            <w:r w:rsidR="008B65F7">
              <w:rPr>
                <w:rFonts w:ascii="Times New Roman" w:hAnsi="Times New Roman"/>
                <w:color w:val="000000"/>
                <w:sz w:val="16"/>
                <w:szCs w:val="16"/>
              </w:rPr>
              <w:t xml:space="preserve"> ist eine Prophylaxe mit 150-300</w:t>
            </w:r>
            <w:r w:rsidR="008B65F7" w:rsidRPr="000709B0">
              <w:rPr>
                <w:rFonts w:ascii="Times New Roman" w:hAnsi="Times New Roman"/>
                <w:sz w:val="16"/>
                <w:szCs w:val="16"/>
              </w:rPr>
              <w:t> </w:t>
            </w:r>
            <w:r w:rsidRPr="00D91B1A">
              <w:rPr>
                <w:rFonts w:ascii="Times New Roman" w:hAnsi="Times New Roman"/>
                <w:color w:val="000000"/>
                <w:sz w:val="16"/>
                <w:szCs w:val="16"/>
              </w:rPr>
              <w:t>μg Anti-D-Immunglobulinen als i.v. oder Subkuta</w:t>
            </w:r>
            <w:r w:rsidR="00EF1334">
              <w:rPr>
                <w:rFonts w:ascii="Times New Roman" w:hAnsi="Times New Roman"/>
                <w:color w:val="000000"/>
                <w:sz w:val="16"/>
                <w:szCs w:val="16"/>
              </w:rPr>
              <w:t>napplikation indiziert, wenn</w:t>
            </w:r>
            <w:r w:rsidRPr="00D91B1A">
              <w:rPr>
                <w:rFonts w:ascii="Times New Roman" w:hAnsi="Times New Roman"/>
                <w:color w:val="000000"/>
                <w:sz w:val="16"/>
                <w:szCs w:val="16"/>
              </w:rPr>
              <w:t xml:space="preserve"> die Transfusion von Rhesus-positiven TKs nicht vermeidbar ist.</w:t>
            </w:r>
          </w:p>
          <w:p w:rsidR="00355E9F" w:rsidRPr="00D91B1A" w:rsidRDefault="00355E9F" w:rsidP="0075351F">
            <w:pPr>
              <w:numPr>
                <w:ilvl w:val="12"/>
                <w:numId w:val="0"/>
              </w:numPr>
              <w:jc w:val="both"/>
              <w:rPr>
                <w:rFonts w:ascii="Times New Roman" w:hAnsi="Times New Roman"/>
                <w:color w:val="000000"/>
                <w:sz w:val="16"/>
                <w:szCs w:val="16"/>
              </w:rPr>
            </w:pPr>
            <w:r w:rsidRPr="00D91B1A">
              <w:rPr>
                <w:rFonts w:ascii="Times New Roman" w:hAnsi="Times New Roman"/>
                <w:color w:val="000000"/>
                <w:sz w:val="16"/>
                <w:szCs w:val="16"/>
              </w:rPr>
              <w:lastRenderedPageBreak/>
              <w:t xml:space="preserve">In allen Fällen, unabhängig von der Personengruppe, ist stets eine serologische Nachuntersuchung 2 bis 4 Monate nach Transfusion zur Feststellung eventuell gebildeter Anti-D-Antikörper durchzuführen.  </w:t>
            </w:r>
          </w:p>
          <w:p w:rsidR="00355E9F" w:rsidRPr="00D91B1A" w:rsidRDefault="00355E9F" w:rsidP="0075351F">
            <w:pPr>
              <w:jc w:val="both"/>
              <w:rPr>
                <w:rFonts w:ascii="Times New Roman" w:hAnsi="Times New Roman"/>
                <w:dstrike/>
                <w:color w:val="000000"/>
                <w:sz w:val="16"/>
                <w:szCs w:val="16"/>
              </w:rPr>
            </w:pPr>
            <w:r w:rsidRPr="00D91B1A">
              <w:rPr>
                <w:rFonts w:ascii="Times New Roman" w:hAnsi="Times New Roman"/>
                <w:color w:val="000000"/>
                <w:sz w:val="16"/>
                <w:szCs w:val="16"/>
                <w:u w:val="single"/>
              </w:rPr>
              <w:t>Schwangerschaft und Stillzeit:</w:t>
            </w:r>
            <w:r w:rsidRPr="00D91B1A">
              <w:rPr>
                <w:rFonts w:ascii="Times New Roman" w:hAnsi="Times New Roman"/>
                <w:color w:val="000000"/>
                <w:sz w:val="16"/>
                <w:szCs w:val="16"/>
              </w:rPr>
              <w:t xml:space="preserve"> Bei bestimmungsgemäßem Gebrauch bestehen keine Einwände.</w:t>
            </w:r>
          </w:p>
          <w:p w:rsidR="00355E9F" w:rsidRPr="00D91B1A" w:rsidRDefault="00355E9F" w:rsidP="0075351F">
            <w:pPr>
              <w:jc w:val="both"/>
              <w:rPr>
                <w:rFonts w:ascii="Times New Roman" w:hAnsi="Times New Roman"/>
                <w:sz w:val="16"/>
                <w:szCs w:val="16"/>
              </w:rPr>
            </w:pPr>
            <w:r w:rsidRPr="00D91B1A">
              <w:rPr>
                <w:rFonts w:ascii="Times New Roman" w:hAnsi="Times New Roman"/>
                <w:color w:val="000000"/>
                <w:sz w:val="16"/>
                <w:szCs w:val="16"/>
                <w:u w:val="single"/>
              </w:rPr>
              <w:t>Auswirkung auf Kraftfahrer und die Bedienung von Maschinen:</w:t>
            </w:r>
            <w:r w:rsidRPr="00D91B1A">
              <w:rPr>
                <w:rFonts w:ascii="Times New Roman" w:hAnsi="Times New Roman"/>
                <w:color w:val="000000"/>
                <w:sz w:val="16"/>
                <w:szCs w:val="16"/>
              </w:rPr>
              <w:t xml:space="preserve"> Nach der Transfusion von Thrombozytenkonzentraten sollte eine Ruhepause von mindestens 1/2 Stunde eingehalten werden.</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numPr>
                <w:ilvl w:val="12"/>
                <w:numId w:val="0"/>
              </w:numPr>
              <w:jc w:val="both"/>
              <w:rPr>
                <w:rFonts w:ascii="Times New Roman" w:hAnsi="Times New Roman"/>
                <w:b/>
                <w:sz w:val="16"/>
                <w:szCs w:val="16"/>
              </w:rPr>
            </w:pPr>
            <w:r w:rsidRPr="00D91B1A">
              <w:rPr>
                <w:rFonts w:ascii="Times New Roman" w:hAnsi="Times New Roman"/>
                <w:b/>
                <w:sz w:val="16"/>
                <w:szCs w:val="16"/>
              </w:rPr>
              <w:t>e) Warnhinweise</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sind nicht angeordnet.</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r w:rsidRPr="00792041">
              <w:rPr>
                <w:rFonts w:ascii="Times New Roman" w:hAnsi="Times New Roman"/>
                <w:b/>
                <w:sz w:val="16"/>
                <w:szCs w:val="16"/>
              </w:rPr>
              <w:t>4.</w:t>
            </w: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Hinweise zur ordnungsgemäßen Anwendung</w:t>
            </w:r>
          </w:p>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a) Dosierung</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 xml:space="preserve">Die Dosierung der Thrombozyten ist abhängig vom klinischen Zustand und der Thrombozytenzahl des Patienten. </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Der minimale Thrombozytenbedarf für die initiale Behandlung eines normalgewichtigen Erwachsenen ohne weitere Komplikationen beträgt &gt; 2x10</w:t>
            </w:r>
            <w:r w:rsidRPr="00D91B1A">
              <w:rPr>
                <w:rFonts w:ascii="Times New Roman" w:hAnsi="Times New Roman"/>
                <w:sz w:val="16"/>
                <w:szCs w:val="16"/>
                <w:vertAlign w:val="superscript"/>
              </w:rPr>
              <w:t>11</w:t>
            </w:r>
            <w:r w:rsidRPr="00D91B1A">
              <w:rPr>
                <w:rFonts w:ascii="Times New Roman" w:hAnsi="Times New Roman"/>
                <w:sz w:val="16"/>
                <w:szCs w:val="16"/>
              </w:rPr>
              <w:t xml:space="preserve"> Thrombozyten, entsprechend einer Standardpackung. Eine Überwachung der Therapie, z.B. durch Bestimmung der Thrombozytenzahl oder der Blutungszeit beim Patienten, ist unerlässlich.</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numPr>
                <w:ilvl w:val="12"/>
                <w:numId w:val="0"/>
              </w:numPr>
              <w:jc w:val="both"/>
              <w:rPr>
                <w:rFonts w:ascii="Times New Roman" w:hAnsi="Times New Roman"/>
                <w:b/>
                <w:sz w:val="16"/>
                <w:szCs w:val="16"/>
              </w:rPr>
            </w:pPr>
            <w:r w:rsidRPr="00D91B1A">
              <w:rPr>
                <w:rFonts w:ascii="Times New Roman" w:hAnsi="Times New Roman"/>
                <w:b/>
                <w:sz w:val="16"/>
                <w:szCs w:val="16"/>
              </w:rPr>
              <w:t>b) Art der Anwendung</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zur i. v. Infusion</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numPr>
                <w:ilvl w:val="12"/>
                <w:numId w:val="0"/>
              </w:numPr>
              <w:jc w:val="both"/>
              <w:rPr>
                <w:rFonts w:ascii="Times New Roman" w:hAnsi="Times New Roman"/>
                <w:b/>
                <w:sz w:val="16"/>
                <w:szCs w:val="16"/>
              </w:rPr>
            </w:pPr>
            <w:r w:rsidRPr="00D91B1A">
              <w:rPr>
                <w:rFonts w:ascii="Times New Roman" w:hAnsi="Times New Roman"/>
                <w:b/>
                <w:sz w:val="16"/>
                <w:szCs w:val="16"/>
              </w:rPr>
              <w:t>c) Häufigkeit der Verabreichung</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nach Indikationsstellung</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numPr>
                <w:ilvl w:val="12"/>
                <w:numId w:val="0"/>
              </w:numPr>
              <w:jc w:val="both"/>
              <w:rPr>
                <w:rFonts w:ascii="Times New Roman" w:hAnsi="Times New Roman"/>
                <w:b/>
                <w:sz w:val="16"/>
                <w:szCs w:val="16"/>
              </w:rPr>
            </w:pPr>
            <w:r w:rsidRPr="00D91B1A">
              <w:rPr>
                <w:rFonts w:ascii="Times New Roman" w:hAnsi="Times New Roman"/>
                <w:b/>
                <w:sz w:val="16"/>
                <w:szCs w:val="16"/>
              </w:rPr>
              <w:t>d) Dauer der Behandlung</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 xml:space="preserve">nach Indikationsstellung </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numPr>
                <w:ilvl w:val="12"/>
                <w:numId w:val="0"/>
              </w:numPr>
              <w:jc w:val="both"/>
              <w:rPr>
                <w:rFonts w:ascii="Times New Roman" w:hAnsi="Times New Roman"/>
                <w:b/>
                <w:sz w:val="16"/>
                <w:szCs w:val="16"/>
              </w:rPr>
            </w:pPr>
            <w:r w:rsidRPr="00D91B1A">
              <w:rPr>
                <w:rFonts w:ascii="Times New Roman" w:hAnsi="Times New Roman"/>
                <w:b/>
                <w:sz w:val="16"/>
                <w:szCs w:val="16"/>
              </w:rPr>
              <w:t>e) Überdosierung</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Eine Gefahr der Überdosierung besteht bei Erwachsenen nicht.</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numPr>
                <w:ilvl w:val="12"/>
                <w:numId w:val="0"/>
              </w:numPr>
              <w:jc w:val="both"/>
              <w:rPr>
                <w:rFonts w:ascii="Times New Roman" w:hAnsi="Times New Roman"/>
                <w:b/>
                <w:sz w:val="16"/>
                <w:szCs w:val="16"/>
              </w:rPr>
            </w:pPr>
            <w:r w:rsidRPr="00D91B1A">
              <w:rPr>
                <w:rFonts w:ascii="Times New Roman" w:hAnsi="Times New Roman"/>
                <w:b/>
                <w:sz w:val="16"/>
                <w:szCs w:val="16"/>
              </w:rPr>
              <w:t>f) Notfallmaßnahmen</w:t>
            </w:r>
          </w:p>
          <w:p w:rsidR="00355E9F" w:rsidRPr="00D91B1A" w:rsidRDefault="00355E9F" w:rsidP="0075351F">
            <w:pPr>
              <w:numPr>
                <w:ilvl w:val="12"/>
                <w:numId w:val="0"/>
              </w:numPr>
              <w:jc w:val="both"/>
              <w:rPr>
                <w:rFonts w:ascii="Times New Roman" w:hAnsi="Times New Roman"/>
                <w:sz w:val="16"/>
                <w:szCs w:val="16"/>
              </w:rPr>
            </w:pPr>
            <w:r w:rsidRPr="00D91B1A">
              <w:rPr>
                <w:rFonts w:ascii="Times New Roman" w:hAnsi="Times New Roman"/>
                <w:sz w:val="16"/>
                <w:szCs w:val="16"/>
              </w:rPr>
              <w:t xml:space="preserve">Treten Unverträglichkeiten auf, so ist die Transfusion unverzüglich abzubrechen, der Venenzugang jedoch offenzuhalten und eine Behandlung, der Schwere der Symptome gemäß, nach den aktuellen Regeln der Notfalltherapie einzuleiten. </w:t>
            </w:r>
          </w:p>
        </w:tc>
      </w:tr>
      <w:tr w:rsidR="00355E9F" w:rsidRPr="00A83F36" w:rsidTr="00772B21">
        <w:tc>
          <w:tcPr>
            <w:tcW w:w="496" w:type="dxa"/>
          </w:tcPr>
          <w:p w:rsidR="00355E9F" w:rsidRPr="00A83F36" w:rsidRDefault="00355E9F" w:rsidP="00772B21">
            <w:pPr>
              <w:jc w:val="both"/>
              <w:rPr>
                <w:rFonts w:ascii="Times New Roman" w:hAnsi="Times New Roman"/>
                <w:b/>
                <w:color w:val="000000" w:themeColor="text1"/>
                <w:sz w:val="16"/>
                <w:szCs w:val="16"/>
              </w:rPr>
            </w:pPr>
            <w:r w:rsidRPr="00A83F36">
              <w:rPr>
                <w:rFonts w:ascii="Times New Roman" w:hAnsi="Times New Roman"/>
                <w:b/>
                <w:color w:val="000000" w:themeColor="text1"/>
                <w:sz w:val="16"/>
                <w:szCs w:val="16"/>
              </w:rPr>
              <w:t>5.</w:t>
            </w:r>
          </w:p>
        </w:tc>
        <w:tc>
          <w:tcPr>
            <w:tcW w:w="9994" w:type="dxa"/>
            <w:gridSpan w:val="2"/>
          </w:tcPr>
          <w:p w:rsidR="00355E9F" w:rsidRPr="00D91B1A" w:rsidRDefault="00355E9F" w:rsidP="0075351F">
            <w:pPr>
              <w:numPr>
                <w:ilvl w:val="12"/>
                <w:numId w:val="0"/>
              </w:numPr>
              <w:ind w:right="284"/>
              <w:jc w:val="both"/>
              <w:rPr>
                <w:rFonts w:ascii="Times New Roman" w:hAnsi="Times New Roman"/>
                <w:sz w:val="16"/>
                <w:szCs w:val="16"/>
              </w:rPr>
            </w:pPr>
            <w:r w:rsidRPr="00D91B1A">
              <w:rPr>
                <w:rFonts w:ascii="Times New Roman" w:hAnsi="Times New Roman"/>
                <w:sz w:val="16"/>
                <w:szCs w:val="16"/>
              </w:rPr>
              <w:t>Nebenwirkungen</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Unverträglichkeitsreaktionen (z.B. urtikar</w:t>
            </w:r>
            <w:r>
              <w:rPr>
                <w:rFonts w:ascii="Times New Roman" w:hAnsi="Times New Roman"/>
                <w:sz w:val="16"/>
                <w:szCs w:val="16"/>
              </w:rPr>
              <w:t>ielle Hautreaktionen, posttransfusio</w:t>
            </w:r>
            <w:r w:rsidRPr="00D91B1A">
              <w:rPr>
                <w:rFonts w:ascii="Times New Roman" w:hAnsi="Times New Roman"/>
                <w:sz w:val="16"/>
                <w:szCs w:val="16"/>
              </w:rPr>
              <w:t xml:space="preserve">nelle Purpura und andere anaphylaktoide Reaktionen) </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Transfusionsassoziierte akute Lungeninsuffizienz (TRALI)</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anaphylaktische Reaktionen bei Empfängern mit angeborenem IgA-Mangel</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Mikrozirkulationsstörungen durch aggregierende Thrombozyten bei massiver Transfusion</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Immunisierung des Empfängers gegen thrombozytäre und nicht-thrombozytäre Antigene</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Obwohl HLA-bedingte Unverträglichkeiten stark verringert sind, können febrile Transfusionsreaktionen in unmittelbarem zeitlichem Zusammenhang mit der Transfusion auftreten.</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 xml:space="preserve">Bei Neugeborenen sind bei schneller Transfusion Herz-Kreislaufreaktionen infolge von Citratintoxikationen möglich. </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Das Risiko einer bakteriellen Kontamination lässt sich nicht mit letzter Sicherheit ausschließen.</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Bei der Anwendung von aus menschlichem Blut hergestellten Arzneimitteln ist die Übertragung von Infektionskrankheiten durch Übertragung von Erregern - auch bislang unbekannter Natur - nicht völlig auszuschließen. Dies gilt z.B. für Hepatitiden, seltener für das erworbene Immundefektsyndrom (AIDS).</w:t>
            </w:r>
          </w:p>
          <w:p w:rsidR="00355E9F" w:rsidRPr="00D91B1A" w:rsidRDefault="00355E9F" w:rsidP="0075351F">
            <w:pPr>
              <w:numPr>
                <w:ilvl w:val="0"/>
                <w:numId w:val="1"/>
              </w:numPr>
              <w:jc w:val="both"/>
              <w:rPr>
                <w:rFonts w:ascii="Times New Roman" w:hAnsi="Times New Roman"/>
                <w:sz w:val="16"/>
                <w:szCs w:val="16"/>
              </w:rPr>
            </w:pPr>
            <w:r w:rsidRPr="00D91B1A">
              <w:rPr>
                <w:rFonts w:ascii="Times New Roman" w:hAnsi="Times New Roman"/>
                <w:sz w:val="16"/>
                <w:szCs w:val="16"/>
              </w:rPr>
              <w:t>Im Vereinigten Königreich Großbritannien und Nordirland wurde über Einzelfälle berichtet, in denen bei Empfängern von Transfusionen, deren Spender später an der varianten Creutzfeldt-Jakob Krankheit (vCJK) erkrankten, ebenfalls der „Erreger“ (so genannte Prionen) nachgewiesen wurde. Bei der vCJK handelt es sich um eine in Deutschland bislang nicht beobachtete Erkrankung, die durch den Verzehr von bestimmten Nahrungsmitteln aus BSE-kranken Rindern erworben werden kann.</w:t>
            </w:r>
          </w:p>
          <w:p w:rsidR="00355E9F" w:rsidRPr="00D91B1A" w:rsidRDefault="00355E9F" w:rsidP="0075351F">
            <w:pPr>
              <w:jc w:val="both"/>
              <w:rPr>
                <w:rFonts w:ascii="Times New Roman" w:hAnsi="Times New Roman"/>
                <w:sz w:val="16"/>
                <w:szCs w:val="16"/>
                <w:u w:val="single"/>
              </w:rPr>
            </w:pPr>
            <w:r w:rsidRPr="00D91B1A">
              <w:rPr>
                <w:rFonts w:ascii="Times New Roman" w:hAnsi="Times New Roman"/>
                <w:sz w:val="16"/>
                <w:szCs w:val="16"/>
                <w:u w:val="single"/>
              </w:rPr>
              <w:t>Meldung des Verdachts auf Nebenwirkungen</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dem Bundesinstitut für Impfstoffe und biomedizinische Arzneimittel, Paul-Ehrlich-Institut, Paul-Ehrlich-Straße 51 – 59, 63225 Langen, Telefon +49 6 10 37 70, Telefax: +49 61 03 77 12 34, Website: www.pei.de anzuzeigen.</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Patienten sind darüber zu informieren, dass sie sich an Ihren Arzt oder das medizinische Fachpersonal wenden sollen, wenn sie Nebenwirkungen bemerken. Dies gilt auch für Nebenwirkungen, die nicht in dieser Gebrauchsinformation und Fachinformation angegeben sind. Patienten können Nebenwirkungen auch direkt dem Paul-Ehrlich-Institut anzeigen. Indem Patienten Nebenwirkungen melden, können sie dazu beitragen, dass mehr Informationen über die Sicherheit dieses Arzneimittels zur Verfügung gestellt werden.</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r w:rsidRPr="00792041">
              <w:rPr>
                <w:rFonts w:ascii="Times New Roman" w:hAnsi="Times New Roman"/>
                <w:b/>
                <w:sz w:val="16"/>
                <w:szCs w:val="16"/>
              </w:rPr>
              <w:t>6.</w:t>
            </w:r>
          </w:p>
        </w:tc>
        <w:tc>
          <w:tcPr>
            <w:tcW w:w="9994" w:type="dxa"/>
            <w:gridSpan w:val="2"/>
          </w:tcPr>
          <w:p w:rsidR="00355E9F" w:rsidRPr="00D91B1A" w:rsidRDefault="00355E9F" w:rsidP="0075351F">
            <w:pPr>
              <w:jc w:val="both"/>
              <w:rPr>
                <w:rFonts w:ascii="Times New Roman" w:hAnsi="Times New Roman"/>
                <w:sz w:val="16"/>
                <w:szCs w:val="16"/>
              </w:rPr>
            </w:pPr>
            <w:r w:rsidRPr="00D91B1A">
              <w:rPr>
                <w:rFonts w:ascii="Times New Roman" w:hAnsi="Times New Roman"/>
                <w:b/>
                <w:sz w:val="16"/>
                <w:szCs w:val="16"/>
              </w:rPr>
              <w:t>Pharmakologische Eigenschaften</w:t>
            </w:r>
            <w:r w:rsidRPr="00D91B1A">
              <w:rPr>
                <w:rFonts w:ascii="Times New Roman" w:hAnsi="Times New Roman"/>
                <w:sz w:val="16"/>
                <w:szCs w:val="16"/>
              </w:rPr>
              <w:t xml:space="preserve"> </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 xml:space="preserve">Die wirksamen Bestandteile von Thrombozytenkonzentraten sind morphologisch und funktionell intakte Thrombozyten, welche die zellulären Bestandteile des Hämostasesystems darstellen. Die Hämostaseaktivität der funktionell intakten Thrombozyten ist sofort nach der Transfusion gegeben. Die Funktionsfähigkeit und mittlere Überlebenszeit der Thrombozyten nimmt mit der Lagerungsdauer ab. Durch die Leukozytendepletion auf &lt; </w:t>
            </w:r>
            <w:smartTag w:uri="urn:schemas-microsoft-com:office:smarttags" w:element="date">
              <w:smartTagPr>
                <w:attr w:name="ls" w:val="trans"/>
                <w:attr w:name="Month" w:val="10"/>
                <w:attr w:name="Day" w:val="1"/>
                <w:attr w:name="Year" w:val="10"/>
              </w:smartTagPr>
              <w:r w:rsidRPr="00D91B1A">
                <w:rPr>
                  <w:rFonts w:ascii="Times New Roman" w:hAnsi="Times New Roman"/>
                  <w:sz w:val="16"/>
                  <w:szCs w:val="16"/>
                </w:rPr>
                <w:t>1 x 10</w:t>
              </w:r>
            </w:smartTag>
            <w:r w:rsidRPr="00D91B1A">
              <w:rPr>
                <w:rFonts w:ascii="Times New Roman" w:hAnsi="Times New Roman"/>
                <w:sz w:val="16"/>
                <w:szCs w:val="16"/>
                <w:vertAlign w:val="superscript"/>
              </w:rPr>
              <w:t>6</w:t>
            </w:r>
            <w:r w:rsidRPr="00D91B1A">
              <w:rPr>
                <w:rFonts w:ascii="Times New Roman" w:hAnsi="Times New Roman"/>
                <w:sz w:val="16"/>
                <w:szCs w:val="16"/>
              </w:rPr>
              <w:t xml:space="preserve"> Leukozyten pro Standardpackung wird das Risiko einer Immunisierung gegen humane leukozytäre Alloantigene (HLA) und durch die Bestrahlung mit mindes</w:t>
            </w:r>
            <w:r w:rsidR="00EF1334">
              <w:rPr>
                <w:rFonts w:ascii="Times New Roman" w:hAnsi="Times New Roman"/>
                <w:sz w:val="16"/>
                <w:szCs w:val="16"/>
              </w:rPr>
              <w:t>tens 25 </w:t>
            </w:r>
            <w:r w:rsidRPr="00D91B1A">
              <w:rPr>
                <w:rFonts w:ascii="Times New Roman" w:hAnsi="Times New Roman"/>
                <w:sz w:val="16"/>
                <w:szCs w:val="16"/>
              </w:rPr>
              <w:t>Gy die Übertragung mitosefähiger immunkompetenter Lymphozyten stark vermindert, somit die Gefahr einer transfusionsassozierten Graft-versus-Host-Reaktion vermieden. Das Thrombozytenkonzentrat enthält weder körpereigene Substanzen in unphysiologischer Konzentration noch körperfremde Stoffe.</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r w:rsidRPr="00792041">
              <w:rPr>
                <w:rFonts w:ascii="Times New Roman" w:hAnsi="Times New Roman"/>
                <w:b/>
                <w:sz w:val="16"/>
                <w:szCs w:val="16"/>
              </w:rPr>
              <w:t>7.</w:t>
            </w: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Weitere Hinweise</w:t>
            </w:r>
          </w:p>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a) Angaben zur Aufbewahrung und Haltbarkeit</w:t>
            </w:r>
          </w:p>
          <w:p w:rsidR="00355E9F" w:rsidRPr="00D91B1A" w:rsidRDefault="00355E9F" w:rsidP="0075351F">
            <w:pPr>
              <w:numPr>
                <w:ilvl w:val="12"/>
                <w:numId w:val="0"/>
              </w:numPr>
              <w:ind w:right="284"/>
              <w:jc w:val="both"/>
              <w:rPr>
                <w:rFonts w:ascii="Times New Roman" w:hAnsi="Times New Roman"/>
                <w:sz w:val="16"/>
                <w:szCs w:val="16"/>
              </w:rPr>
            </w:pPr>
            <w:r w:rsidRPr="00D91B1A">
              <w:rPr>
                <w:rFonts w:ascii="Times New Roman" w:hAnsi="Times New Roman"/>
                <w:b/>
                <w:sz w:val="16"/>
                <w:szCs w:val="16"/>
              </w:rPr>
              <w:t>Angaben zur Haltbarkeit, besondere Lager- und Aufbewahrungshinweise</w:t>
            </w:r>
            <w:r w:rsidRPr="00D91B1A">
              <w:rPr>
                <w:rFonts w:ascii="Times New Roman" w:hAnsi="Times New Roman"/>
                <w:sz w:val="16"/>
                <w:szCs w:val="16"/>
              </w:rPr>
              <w:t xml:space="preserve"> </w:t>
            </w:r>
          </w:p>
          <w:p w:rsidR="00355E9F" w:rsidRPr="00D91B1A" w:rsidRDefault="00355E9F" w:rsidP="0075351F">
            <w:pPr>
              <w:numPr>
                <w:ilvl w:val="0"/>
                <w:numId w:val="1"/>
              </w:numPr>
              <w:jc w:val="both"/>
              <w:rPr>
                <w:rFonts w:ascii="Times New Roman" w:hAnsi="Times New Roman"/>
                <w:b/>
                <w:sz w:val="16"/>
                <w:szCs w:val="16"/>
              </w:rPr>
            </w:pPr>
            <w:r w:rsidRPr="00D91B1A">
              <w:rPr>
                <w:rFonts w:ascii="Times New Roman" w:hAnsi="Times New Roman"/>
                <w:sz w:val="16"/>
                <w:szCs w:val="16"/>
              </w:rPr>
              <w:t xml:space="preserve">Das Thrombozytenkonzentrat „Thrombozytapheresekonzentrat U-FR, leukozytendepletiert, bestrahlt“ ist vier Tage zzgl. Entnahmetag bis zu dem auf dem Etikett angegebenen Verfalldatum bei 22 </w:t>
            </w:r>
            <w:r w:rsidRPr="00D91B1A">
              <w:rPr>
                <w:rFonts w:ascii="Times New Roman" w:hAnsi="Times New Roman"/>
                <w:sz w:val="16"/>
                <w:szCs w:val="16"/>
                <w:u w:val="single"/>
              </w:rPr>
              <w:t xml:space="preserve">+ </w:t>
            </w:r>
            <w:r w:rsidRPr="00D91B1A">
              <w:rPr>
                <w:rFonts w:ascii="Times New Roman" w:hAnsi="Times New Roman"/>
                <w:sz w:val="16"/>
                <w:szCs w:val="16"/>
              </w:rPr>
              <w:t>2 °C unter gleichmäßiger Agitation haltbar. Nach Ablauf des Verfalldatums darf das Thrombozytenkonzentrat nicht mehr verwendet werden.</w:t>
            </w:r>
          </w:p>
          <w:p w:rsidR="00355E9F" w:rsidRPr="00D91B1A" w:rsidRDefault="00355E9F" w:rsidP="0075351F">
            <w:pPr>
              <w:numPr>
                <w:ilvl w:val="0"/>
                <w:numId w:val="1"/>
              </w:numPr>
              <w:jc w:val="both"/>
              <w:rPr>
                <w:rFonts w:ascii="Times New Roman" w:hAnsi="Times New Roman"/>
                <w:b/>
                <w:sz w:val="16"/>
                <w:szCs w:val="16"/>
              </w:rPr>
            </w:pPr>
            <w:r w:rsidRPr="00D91B1A">
              <w:rPr>
                <w:rFonts w:ascii="Times New Roman" w:hAnsi="Times New Roman"/>
                <w:sz w:val="16"/>
                <w:szCs w:val="16"/>
              </w:rPr>
              <w:t>Nach Unterbrechung der o.g. Lagerbedingungen ist das Thrombozyt</w:t>
            </w:r>
            <w:r>
              <w:rPr>
                <w:rFonts w:ascii="Times New Roman" w:hAnsi="Times New Roman"/>
                <w:sz w:val="16"/>
                <w:szCs w:val="16"/>
              </w:rPr>
              <w:t>enkonzen</w:t>
            </w:r>
            <w:r w:rsidRPr="00D91B1A">
              <w:rPr>
                <w:rFonts w:ascii="Times New Roman" w:hAnsi="Times New Roman"/>
                <w:sz w:val="16"/>
                <w:szCs w:val="16"/>
              </w:rPr>
              <w:t>trat unverzüglich zu transfundieren. Bei Zwischenlagerung ohne Möglichkeit der Agitation sollte auf ausreichenden Gasaustausch geachtet werden (Lagerung auf einem Gitterrost oder zumindest mit dem Etikett nach unten).</w:t>
            </w:r>
          </w:p>
          <w:p w:rsidR="00355E9F" w:rsidRPr="00D91B1A" w:rsidRDefault="00355E9F" w:rsidP="0075351F">
            <w:pPr>
              <w:numPr>
                <w:ilvl w:val="0"/>
                <w:numId w:val="1"/>
              </w:numPr>
              <w:jc w:val="both"/>
              <w:rPr>
                <w:rFonts w:ascii="Times New Roman" w:hAnsi="Times New Roman"/>
                <w:b/>
                <w:sz w:val="16"/>
                <w:szCs w:val="16"/>
              </w:rPr>
            </w:pPr>
            <w:r w:rsidRPr="00D91B1A">
              <w:rPr>
                <w:rFonts w:ascii="Times New Roman" w:hAnsi="Times New Roman"/>
                <w:sz w:val="16"/>
                <w:szCs w:val="16"/>
              </w:rPr>
              <w:t>Eine durch das Transfusionsb</w:t>
            </w:r>
            <w:r>
              <w:rPr>
                <w:rFonts w:ascii="Times New Roman" w:hAnsi="Times New Roman"/>
                <w:sz w:val="16"/>
                <w:szCs w:val="16"/>
              </w:rPr>
              <w:t>esteck geöffnete Konserve muss</w:t>
            </w:r>
            <w:r w:rsidRPr="00D91B1A">
              <w:rPr>
                <w:rFonts w:ascii="Times New Roman" w:hAnsi="Times New Roman"/>
                <w:sz w:val="16"/>
                <w:szCs w:val="16"/>
              </w:rPr>
              <w:t xml:space="preserve"> unverzüglich verbraucht werden.</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b) Optische Prüfung</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Unmittelbar vor der Transfusion muß jedes Thrombozytenko</w:t>
            </w:r>
            <w:r>
              <w:rPr>
                <w:rFonts w:ascii="Times New Roman" w:hAnsi="Times New Roman"/>
                <w:sz w:val="16"/>
                <w:szCs w:val="16"/>
              </w:rPr>
              <w:t>nzentrat einer op</w:t>
            </w:r>
            <w:r>
              <w:rPr>
                <w:rFonts w:ascii="Times New Roman" w:hAnsi="Times New Roman"/>
                <w:sz w:val="16"/>
                <w:szCs w:val="16"/>
              </w:rPr>
              <w:softHyphen/>
              <w:t>tischen Qualitäts</w:t>
            </w:r>
            <w:r w:rsidRPr="00D91B1A">
              <w:rPr>
                <w:rFonts w:ascii="Times New Roman" w:hAnsi="Times New Roman"/>
                <w:sz w:val="16"/>
                <w:szCs w:val="16"/>
              </w:rPr>
              <w:t>prüfung unterzogen werden,</w:t>
            </w:r>
            <w:r>
              <w:rPr>
                <w:rFonts w:ascii="Times New Roman" w:hAnsi="Times New Roman"/>
                <w:sz w:val="16"/>
                <w:szCs w:val="16"/>
              </w:rPr>
              <w:t xml:space="preserve"> auffällige Thrombozyten</w:t>
            </w:r>
            <w:r>
              <w:rPr>
                <w:rFonts w:ascii="Times New Roman" w:hAnsi="Times New Roman"/>
                <w:sz w:val="16"/>
                <w:szCs w:val="16"/>
              </w:rPr>
              <w:softHyphen/>
              <w:t>konzen</w:t>
            </w:r>
            <w:r w:rsidRPr="00D91B1A">
              <w:rPr>
                <w:rFonts w:ascii="Times New Roman" w:hAnsi="Times New Roman"/>
                <w:sz w:val="16"/>
                <w:szCs w:val="16"/>
              </w:rPr>
              <w:t>trate (z.B. fehlendes "Swirling-Phänomen" bzw. Wolkenbildung bei leichtem Schwenken, erkennbare Aggregatbildung) dürfen nicht verwendet werden.</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Default="00355E9F" w:rsidP="0075351F">
            <w:pPr>
              <w:widowControl w:val="0"/>
              <w:rPr>
                <w:rFonts w:ascii="Times New Roman" w:hAnsi="Times New Roman"/>
                <w:b/>
                <w:sz w:val="16"/>
                <w:szCs w:val="16"/>
              </w:rPr>
            </w:pPr>
            <w:r>
              <w:rPr>
                <w:rFonts w:ascii="Times New Roman" w:hAnsi="Times New Roman"/>
                <w:b/>
                <w:sz w:val="16"/>
                <w:szCs w:val="16"/>
              </w:rPr>
              <w:t>c) Zusammensetzung des Arzneimittels</w:t>
            </w:r>
          </w:p>
          <w:p w:rsidR="00355E9F" w:rsidRPr="00D91B1A" w:rsidRDefault="00355E9F" w:rsidP="0075351F">
            <w:pPr>
              <w:widowControl w:val="0"/>
              <w:rPr>
                <w:rFonts w:ascii="Times New Roman" w:hAnsi="Times New Roman"/>
                <w:b/>
                <w:sz w:val="16"/>
                <w:szCs w:val="16"/>
              </w:rPr>
            </w:pPr>
            <w:r w:rsidRPr="00D91B1A">
              <w:rPr>
                <w:rFonts w:ascii="Times New Roman" w:hAnsi="Times New Roman"/>
                <w:b/>
                <w:sz w:val="16"/>
                <w:szCs w:val="16"/>
              </w:rPr>
              <w:t>Wirkstoffe (nach Art und Menge):</w:t>
            </w:r>
          </w:p>
          <w:p w:rsidR="00355E9F" w:rsidRPr="00D91B1A" w:rsidRDefault="00355E9F" w:rsidP="0075351F">
            <w:pPr>
              <w:widowControl w:val="0"/>
              <w:rPr>
                <w:rFonts w:ascii="Times New Roman" w:hAnsi="Times New Roman"/>
                <w:b/>
                <w:sz w:val="16"/>
                <w:szCs w:val="16"/>
              </w:rPr>
            </w:pPr>
            <w:r w:rsidRPr="00D91B1A">
              <w:rPr>
                <w:rFonts w:ascii="Times New Roman" w:hAnsi="Times New Roman"/>
                <w:sz w:val="16"/>
                <w:szCs w:val="16"/>
              </w:rPr>
              <w:t xml:space="preserve">Human-Thrombozyten aus einer einzelnen Apheresespende </w:t>
            </w:r>
          </w:p>
          <w:p w:rsidR="00355E9F" w:rsidRDefault="00355E9F" w:rsidP="0075351F">
            <w:pPr>
              <w:pStyle w:val="Fuzeile"/>
              <w:widowControl w:val="0"/>
              <w:tabs>
                <w:tab w:val="clear" w:pos="9072"/>
                <w:tab w:val="left" w:pos="567"/>
                <w:tab w:val="left" w:pos="1134"/>
                <w:tab w:val="left" w:pos="2268"/>
                <w:tab w:val="left" w:pos="3402"/>
                <w:tab w:val="left" w:pos="4536"/>
                <w:tab w:val="left" w:pos="5670"/>
                <w:tab w:val="left" w:pos="6804"/>
                <w:tab w:val="left" w:pos="7938"/>
              </w:tabs>
              <w:rPr>
                <w:rFonts w:ascii="Times New Roman" w:hAnsi="Times New Roman"/>
                <w:sz w:val="16"/>
                <w:szCs w:val="16"/>
              </w:rPr>
            </w:pPr>
            <w:r w:rsidRPr="00D91B1A">
              <w:rPr>
                <w:rFonts w:ascii="Times New Roman" w:hAnsi="Times New Roman"/>
                <w:sz w:val="16"/>
                <w:szCs w:val="16"/>
              </w:rPr>
              <w:t>2 x 10</w:t>
            </w:r>
            <w:r w:rsidRPr="00D91B1A">
              <w:rPr>
                <w:rFonts w:ascii="Times New Roman" w:hAnsi="Times New Roman"/>
                <w:sz w:val="16"/>
                <w:szCs w:val="16"/>
                <w:vertAlign w:val="superscript"/>
              </w:rPr>
              <w:t>11</w:t>
            </w:r>
            <w:r w:rsidRPr="00D91B1A">
              <w:rPr>
                <w:rFonts w:ascii="Times New Roman" w:hAnsi="Times New Roman"/>
                <w:sz w:val="16"/>
                <w:szCs w:val="16"/>
              </w:rPr>
              <w:t xml:space="preserve"> bis 4 x 10</w:t>
            </w:r>
            <w:r w:rsidRPr="00D91B1A">
              <w:rPr>
                <w:rFonts w:ascii="Times New Roman" w:hAnsi="Times New Roman"/>
                <w:sz w:val="16"/>
                <w:szCs w:val="16"/>
                <w:vertAlign w:val="superscript"/>
              </w:rPr>
              <w:t>11</w:t>
            </w:r>
            <w:r w:rsidRPr="00D91B1A">
              <w:rPr>
                <w:rFonts w:ascii="Times New Roman" w:hAnsi="Times New Roman"/>
                <w:sz w:val="16"/>
                <w:szCs w:val="16"/>
              </w:rPr>
              <w:t xml:space="preserve"> Thrombozyten/Standardpackung</w:t>
            </w:r>
          </w:p>
          <w:p w:rsidR="008B65F7" w:rsidRPr="00D91B1A" w:rsidRDefault="008B65F7" w:rsidP="0075351F">
            <w:pPr>
              <w:pStyle w:val="Fuzeile"/>
              <w:widowControl w:val="0"/>
              <w:tabs>
                <w:tab w:val="clear" w:pos="9072"/>
                <w:tab w:val="left" w:pos="567"/>
                <w:tab w:val="left" w:pos="1134"/>
                <w:tab w:val="left" w:pos="2268"/>
                <w:tab w:val="left" w:pos="3402"/>
                <w:tab w:val="left" w:pos="4536"/>
                <w:tab w:val="left" w:pos="5670"/>
                <w:tab w:val="left" w:pos="6804"/>
                <w:tab w:val="left" w:pos="7938"/>
              </w:tabs>
              <w:rPr>
                <w:rFonts w:ascii="Times New Roman" w:hAnsi="Times New Roman"/>
                <w:sz w:val="16"/>
                <w:szCs w:val="16"/>
              </w:rPr>
            </w:pPr>
          </w:p>
        </w:tc>
      </w:tr>
      <w:tr w:rsidR="00355E9F" w:rsidRPr="00792041" w:rsidTr="008B65F7">
        <w:tc>
          <w:tcPr>
            <w:tcW w:w="496" w:type="dxa"/>
            <w:shd w:val="clear" w:color="auto" w:fill="auto"/>
          </w:tcPr>
          <w:p w:rsidR="00355E9F" w:rsidRPr="00792041" w:rsidRDefault="00355E9F" w:rsidP="00772B21">
            <w:pPr>
              <w:jc w:val="both"/>
              <w:rPr>
                <w:rFonts w:ascii="Times New Roman" w:hAnsi="Times New Roman"/>
                <w:b/>
                <w:bCs/>
                <w:sz w:val="16"/>
                <w:szCs w:val="16"/>
              </w:rPr>
            </w:pPr>
          </w:p>
        </w:tc>
        <w:tc>
          <w:tcPr>
            <w:tcW w:w="4749" w:type="dxa"/>
            <w:shd w:val="clear" w:color="auto" w:fill="auto"/>
          </w:tcPr>
          <w:p w:rsidR="00355E9F" w:rsidRPr="00D91B1A" w:rsidRDefault="00355E9F" w:rsidP="0075351F">
            <w:pPr>
              <w:widowControl w:val="0"/>
              <w:rPr>
                <w:rFonts w:ascii="Times New Roman" w:hAnsi="Times New Roman"/>
                <w:b/>
                <w:sz w:val="16"/>
                <w:szCs w:val="16"/>
              </w:rPr>
            </w:pPr>
            <w:r w:rsidRPr="00D91B1A">
              <w:rPr>
                <w:rFonts w:ascii="Times New Roman" w:hAnsi="Times New Roman"/>
                <w:b/>
                <w:sz w:val="16"/>
                <w:szCs w:val="16"/>
              </w:rPr>
              <w:t xml:space="preserve">Sonstige Bestandteile: </w:t>
            </w:r>
          </w:p>
          <w:p w:rsidR="00355E9F" w:rsidRPr="00D91B1A" w:rsidRDefault="00355E9F" w:rsidP="0075351F">
            <w:pPr>
              <w:widowControl w:val="0"/>
              <w:rPr>
                <w:rFonts w:ascii="Times New Roman" w:hAnsi="Times New Roman"/>
                <w:b/>
                <w:sz w:val="16"/>
                <w:szCs w:val="16"/>
              </w:rPr>
            </w:pPr>
            <w:r w:rsidRPr="00D91B1A">
              <w:rPr>
                <w:rFonts w:ascii="Times New Roman" w:hAnsi="Times New Roman"/>
                <w:sz w:val="16"/>
                <w:szCs w:val="16"/>
              </w:rPr>
              <w:t>bezogen auf 1</w:t>
            </w:r>
            <w:r w:rsidR="008B65F7" w:rsidRPr="000709B0">
              <w:rPr>
                <w:rFonts w:ascii="Times New Roman" w:hAnsi="Times New Roman"/>
                <w:sz w:val="16"/>
                <w:szCs w:val="16"/>
              </w:rPr>
              <w:t> </w:t>
            </w:r>
            <w:r w:rsidRPr="00D91B1A">
              <w:rPr>
                <w:rFonts w:ascii="Times New Roman" w:hAnsi="Times New Roman"/>
                <w:sz w:val="16"/>
                <w:szCs w:val="16"/>
              </w:rPr>
              <w:t xml:space="preserve">ml: </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Humanplasma</w:t>
            </w:r>
            <w:r w:rsidRPr="00D91B1A">
              <w:rPr>
                <w:rFonts w:ascii="Times New Roman" w:hAnsi="Times New Roman"/>
                <w:sz w:val="16"/>
                <w:szCs w:val="16"/>
              </w:rPr>
              <w:tab/>
            </w:r>
            <w:r w:rsidRPr="00D91B1A">
              <w:rPr>
                <w:rFonts w:ascii="Times New Roman" w:hAnsi="Times New Roman"/>
                <w:sz w:val="16"/>
                <w:szCs w:val="16"/>
              </w:rPr>
              <w:tab/>
            </w:r>
            <w:r w:rsidR="008B65F7">
              <w:rPr>
                <w:rFonts w:ascii="Times New Roman" w:hAnsi="Times New Roman"/>
                <w:sz w:val="16"/>
                <w:szCs w:val="16"/>
              </w:rPr>
              <w:tab/>
            </w:r>
            <w:r w:rsidRPr="00D91B1A">
              <w:rPr>
                <w:rFonts w:ascii="Times New Roman" w:hAnsi="Times New Roman"/>
                <w:sz w:val="16"/>
                <w:szCs w:val="16"/>
              </w:rPr>
              <w:t>0,34-0,37</w:t>
            </w:r>
            <w:r w:rsidR="008B65F7" w:rsidRPr="000709B0">
              <w:rPr>
                <w:rFonts w:ascii="Times New Roman" w:hAnsi="Times New Roman"/>
                <w:sz w:val="16"/>
                <w:szCs w:val="16"/>
              </w:rPr>
              <w:t> </w:t>
            </w:r>
            <w:r w:rsidRPr="00D91B1A">
              <w:rPr>
                <w:rFonts w:ascii="Times New Roman" w:hAnsi="Times New Roman"/>
                <w:sz w:val="16"/>
                <w:szCs w:val="16"/>
              </w:rPr>
              <w:t xml:space="preserve">ml </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SSP+</w:t>
            </w:r>
            <w:r w:rsidRPr="00D91B1A">
              <w:rPr>
                <w:rFonts w:ascii="Times New Roman" w:hAnsi="Times New Roman"/>
                <w:sz w:val="16"/>
                <w:szCs w:val="16"/>
              </w:rPr>
              <w:tab/>
            </w:r>
            <w:r w:rsidRPr="00D91B1A">
              <w:rPr>
                <w:rFonts w:ascii="Times New Roman" w:hAnsi="Times New Roman"/>
                <w:sz w:val="16"/>
                <w:szCs w:val="16"/>
              </w:rPr>
              <w:tab/>
            </w:r>
            <w:r w:rsidRPr="00D91B1A">
              <w:rPr>
                <w:rFonts w:ascii="Times New Roman" w:hAnsi="Times New Roman"/>
                <w:sz w:val="16"/>
                <w:szCs w:val="16"/>
              </w:rPr>
              <w:tab/>
            </w:r>
            <w:r w:rsidR="008B65F7">
              <w:rPr>
                <w:rFonts w:ascii="Times New Roman" w:hAnsi="Times New Roman"/>
                <w:sz w:val="16"/>
                <w:szCs w:val="16"/>
              </w:rPr>
              <w:tab/>
            </w:r>
            <w:r w:rsidRPr="00D91B1A">
              <w:rPr>
                <w:rFonts w:ascii="Times New Roman" w:hAnsi="Times New Roman"/>
                <w:sz w:val="16"/>
                <w:szCs w:val="16"/>
              </w:rPr>
              <w:t>0,57</w:t>
            </w:r>
            <w:r w:rsidR="008B65F7" w:rsidRPr="000709B0">
              <w:rPr>
                <w:rFonts w:ascii="Times New Roman" w:hAnsi="Times New Roman"/>
                <w:sz w:val="16"/>
                <w:szCs w:val="16"/>
              </w:rPr>
              <w:t> </w:t>
            </w:r>
            <w:r w:rsidRPr="00D91B1A">
              <w:rPr>
                <w:rFonts w:ascii="Times New Roman" w:hAnsi="Times New Roman"/>
                <w:sz w:val="16"/>
                <w:szCs w:val="16"/>
              </w:rPr>
              <w:t>ml</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AC</w:t>
            </w:r>
            <w:r w:rsidR="008B65F7">
              <w:rPr>
                <w:rFonts w:ascii="Times New Roman" w:hAnsi="Times New Roman"/>
                <w:sz w:val="16"/>
                <w:szCs w:val="16"/>
              </w:rPr>
              <w:t>D-A Stabilisatorlösung (Ph.Eur.</w:t>
            </w:r>
            <w:r w:rsidRPr="00D91B1A">
              <w:rPr>
                <w:rFonts w:ascii="Times New Roman" w:hAnsi="Times New Roman"/>
                <w:sz w:val="16"/>
                <w:szCs w:val="16"/>
              </w:rPr>
              <w:t>)</w:t>
            </w:r>
            <w:r w:rsidRPr="00D91B1A">
              <w:rPr>
                <w:rFonts w:ascii="Times New Roman" w:hAnsi="Times New Roman"/>
                <w:sz w:val="16"/>
                <w:szCs w:val="16"/>
              </w:rPr>
              <w:tab/>
              <w:t>0,06-0,09</w:t>
            </w:r>
            <w:r w:rsidR="008B65F7" w:rsidRPr="000709B0">
              <w:rPr>
                <w:rFonts w:ascii="Times New Roman" w:hAnsi="Times New Roman"/>
                <w:sz w:val="16"/>
                <w:szCs w:val="16"/>
              </w:rPr>
              <w:t> </w:t>
            </w:r>
            <w:r w:rsidRPr="00D91B1A">
              <w:rPr>
                <w:rFonts w:ascii="Times New Roman" w:hAnsi="Times New Roman"/>
                <w:sz w:val="16"/>
                <w:szCs w:val="16"/>
              </w:rPr>
              <w:t>ml</w:t>
            </w:r>
          </w:p>
          <w:p w:rsidR="00355E9F" w:rsidRPr="00D91B1A" w:rsidRDefault="00355E9F" w:rsidP="0075351F">
            <w:pPr>
              <w:widowControl w:val="0"/>
              <w:rPr>
                <w:rFonts w:ascii="Times New Roman" w:hAnsi="Times New Roman"/>
                <w:sz w:val="16"/>
                <w:szCs w:val="16"/>
              </w:rPr>
            </w:pPr>
          </w:p>
        </w:tc>
        <w:tc>
          <w:tcPr>
            <w:tcW w:w="5245" w:type="dxa"/>
            <w:shd w:val="clear" w:color="auto" w:fill="auto"/>
          </w:tcPr>
          <w:p w:rsidR="00355E9F" w:rsidRPr="00D91B1A" w:rsidRDefault="00355E9F" w:rsidP="0075351F">
            <w:pPr>
              <w:widowControl w:val="0"/>
              <w:tabs>
                <w:tab w:val="clear" w:pos="4536"/>
                <w:tab w:val="clear" w:pos="6804"/>
                <w:tab w:val="left" w:pos="4253"/>
                <w:tab w:val="left" w:pos="6521"/>
              </w:tabs>
              <w:ind w:right="113"/>
              <w:jc w:val="both"/>
              <w:rPr>
                <w:rFonts w:ascii="Times New Roman" w:hAnsi="Times New Roman"/>
                <w:sz w:val="16"/>
                <w:szCs w:val="16"/>
              </w:rPr>
            </w:pPr>
          </w:p>
          <w:p w:rsidR="00355E9F" w:rsidRPr="00D91B1A" w:rsidRDefault="00355E9F" w:rsidP="0075351F">
            <w:pPr>
              <w:widowControl w:val="0"/>
              <w:tabs>
                <w:tab w:val="clear" w:pos="4536"/>
                <w:tab w:val="clear" w:pos="6804"/>
                <w:tab w:val="left" w:pos="4253"/>
                <w:tab w:val="left" w:pos="6521"/>
              </w:tabs>
              <w:ind w:right="113"/>
              <w:jc w:val="both"/>
              <w:rPr>
                <w:rFonts w:ascii="Times New Roman" w:hAnsi="Times New Roman"/>
                <w:sz w:val="16"/>
                <w:szCs w:val="16"/>
              </w:rPr>
            </w:pPr>
          </w:p>
          <w:p w:rsidR="00355E9F" w:rsidRPr="00D91B1A" w:rsidRDefault="00355E9F" w:rsidP="0075351F">
            <w:pPr>
              <w:widowControl w:val="0"/>
              <w:tabs>
                <w:tab w:val="clear" w:pos="4536"/>
                <w:tab w:val="clear" w:pos="6804"/>
                <w:tab w:val="left" w:pos="4253"/>
                <w:tab w:val="left" w:pos="6521"/>
              </w:tabs>
              <w:ind w:right="113"/>
              <w:jc w:val="both"/>
              <w:rPr>
                <w:rFonts w:ascii="Times New Roman" w:hAnsi="Times New Roman"/>
                <w:sz w:val="16"/>
                <w:szCs w:val="16"/>
              </w:rPr>
            </w:pPr>
            <w:r w:rsidRPr="00D91B1A">
              <w:rPr>
                <w:rFonts w:ascii="Times New Roman" w:hAnsi="Times New Roman"/>
                <w:sz w:val="16"/>
                <w:szCs w:val="16"/>
              </w:rPr>
              <w:t xml:space="preserve">Restzellzahlen pro Standartpackung: </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Leukozyten</w:t>
            </w:r>
            <w:r w:rsidRPr="00D91B1A">
              <w:rPr>
                <w:rFonts w:ascii="Times New Roman" w:hAnsi="Times New Roman"/>
                <w:sz w:val="16"/>
                <w:szCs w:val="16"/>
              </w:rPr>
              <w:tab/>
            </w:r>
            <w:r w:rsidRPr="00D91B1A">
              <w:rPr>
                <w:rFonts w:ascii="Times New Roman" w:hAnsi="Times New Roman"/>
                <w:sz w:val="16"/>
                <w:szCs w:val="16"/>
              </w:rPr>
              <w:tab/>
            </w:r>
            <w:r w:rsidRPr="00D91B1A">
              <w:rPr>
                <w:rFonts w:ascii="Times New Roman" w:hAnsi="Times New Roman"/>
                <w:sz w:val="16"/>
                <w:szCs w:val="16"/>
              </w:rPr>
              <w:tab/>
              <w:t>&lt; 1 x 10</w:t>
            </w:r>
            <w:r w:rsidRPr="00D91B1A">
              <w:rPr>
                <w:rFonts w:ascii="Times New Roman" w:hAnsi="Times New Roman"/>
                <w:sz w:val="16"/>
                <w:szCs w:val="16"/>
                <w:vertAlign w:val="superscript"/>
              </w:rPr>
              <w:t>6</w:t>
            </w:r>
            <w:r w:rsidRPr="00D91B1A">
              <w:rPr>
                <w:rFonts w:ascii="Times New Roman" w:hAnsi="Times New Roman"/>
                <w:sz w:val="16"/>
                <w:szCs w:val="16"/>
              </w:rPr>
              <w:t xml:space="preserve"> </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Erythrozyten</w:t>
            </w:r>
            <w:r w:rsidRPr="00D91B1A">
              <w:rPr>
                <w:rFonts w:ascii="Times New Roman" w:hAnsi="Times New Roman"/>
                <w:sz w:val="16"/>
                <w:szCs w:val="16"/>
              </w:rPr>
              <w:tab/>
            </w:r>
            <w:r w:rsidRPr="00D91B1A">
              <w:rPr>
                <w:rFonts w:ascii="Times New Roman" w:hAnsi="Times New Roman"/>
                <w:sz w:val="16"/>
                <w:szCs w:val="16"/>
              </w:rPr>
              <w:tab/>
            </w:r>
            <w:r w:rsidR="008B65F7">
              <w:rPr>
                <w:rFonts w:ascii="Times New Roman" w:hAnsi="Times New Roman"/>
                <w:sz w:val="16"/>
                <w:szCs w:val="16"/>
              </w:rPr>
              <w:tab/>
            </w:r>
            <w:r w:rsidRPr="00D91B1A">
              <w:rPr>
                <w:rFonts w:ascii="Times New Roman" w:hAnsi="Times New Roman"/>
                <w:sz w:val="16"/>
                <w:szCs w:val="16"/>
              </w:rPr>
              <w:t>&lt; 1 x 10</w:t>
            </w:r>
            <w:r w:rsidRPr="00D91B1A">
              <w:rPr>
                <w:rFonts w:ascii="Times New Roman" w:hAnsi="Times New Roman"/>
                <w:sz w:val="16"/>
                <w:szCs w:val="16"/>
                <w:vertAlign w:val="superscript"/>
              </w:rPr>
              <w:t>9</w:t>
            </w:r>
            <w:r w:rsidRPr="00D91B1A">
              <w:rPr>
                <w:rFonts w:ascii="Times New Roman" w:hAnsi="Times New Roman"/>
                <w:sz w:val="16"/>
                <w:szCs w:val="16"/>
              </w:rPr>
              <w:t xml:space="preserve"> </w:t>
            </w:r>
          </w:p>
          <w:p w:rsidR="00355E9F" w:rsidRPr="00D91B1A" w:rsidRDefault="00355E9F" w:rsidP="0075351F">
            <w:pPr>
              <w:widowControl w:val="0"/>
              <w:rPr>
                <w:rFonts w:ascii="Times New Roman" w:hAnsi="Times New Roman"/>
                <w:sz w:val="16"/>
                <w:szCs w:val="16"/>
              </w:rPr>
            </w:pPr>
          </w:p>
        </w:tc>
      </w:tr>
      <w:tr w:rsidR="00355E9F" w:rsidRPr="00792041" w:rsidTr="008B65F7">
        <w:tc>
          <w:tcPr>
            <w:tcW w:w="496" w:type="dxa"/>
            <w:shd w:val="clear" w:color="auto" w:fill="auto"/>
          </w:tcPr>
          <w:p w:rsidR="00355E9F" w:rsidRPr="00792041" w:rsidRDefault="00355E9F" w:rsidP="00772B21">
            <w:pPr>
              <w:jc w:val="both"/>
              <w:rPr>
                <w:rFonts w:ascii="Times New Roman" w:hAnsi="Times New Roman"/>
                <w:b/>
                <w:bCs/>
                <w:sz w:val="16"/>
                <w:szCs w:val="16"/>
              </w:rPr>
            </w:pPr>
          </w:p>
        </w:tc>
        <w:tc>
          <w:tcPr>
            <w:tcW w:w="4749" w:type="dxa"/>
            <w:shd w:val="clear" w:color="auto" w:fill="auto"/>
          </w:tcPr>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 xml:space="preserve">Zusammensetzung SSP+ </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 xml:space="preserve">NaCl </w:t>
            </w:r>
            <w:r w:rsidRPr="00D91B1A">
              <w:rPr>
                <w:rFonts w:ascii="Times New Roman" w:hAnsi="Times New Roman"/>
                <w:sz w:val="16"/>
                <w:szCs w:val="16"/>
              </w:rPr>
              <w:tab/>
            </w:r>
            <w:r w:rsidRPr="00D91B1A">
              <w:rPr>
                <w:rFonts w:ascii="Times New Roman" w:hAnsi="Times New Roman"/>
                <w:sz w:val="16"/>
                <w:szCs w:val="16"/>
              </w:rPr>
              <w:tab/>
            </w:r>
            <w:r w:rsidRPr="00D91B1A">
              <w:rPr>
                <w:rFonts w:ascii="Times New Roman" w:hAnsi="Times New Roman"/>
                <w:sz w:val="16"/>
                <w:szCs w:val="16"/>
              </w:rPr>
              <w:tab/>
            </w:r>
            <w:r w:rsidR="00957EEF">
              <w:rPr>
                <w:rFonts w:ascii="Times New Roman" w:hAnsi="Times New Roman"/>
                <w:sz w:val="16"/>
                <w:szCs w:val="16"/>
              </w:rPr>
              <w:tab/>
              <w:t>69,</w:t>
            </w:r>
            <w:r w:rsidR="008B65F7">
              <w:rPr>
                <w:rFonts w:ascii="Times New Roman" w:hAnsi="Times New Roman"/>
                <w:sz w:val="16"/>
                <w:szCs w:val="16"/>
              </w:rPr>
              <w:t>3</w:t>
            </w:r>
            <w:r w:rsidR="008B65F7" w:rsidRPr="000709B0">
              <w:rPr>
                <w:rFonts w:ascii="Times New Roman" w:hAnsi="Times New Roman"/>
                <w:sz w:val="16"/>
                <w:szCs w:val="16"/>
              </w:rPr>
              <w:t> </w:t>
            </w:r>
            <w:r w:rsidRPr="00D91B1A">
              <w:rPr>
                <w:rFonts w:ascii="Times New Roman" w:hAnsi="Times New Roman"/>
                <w:sz w:val="16"/>
                <w:szCs w:val="16"/>
              </w:rPr>
              <w:t>mmol/l</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Na</w:t>
            </w:r>
            <w:r w:rsidRPr="008B65F7">
              <w:rPr>
                <w:rFonts w:ascii="Times New Roman" w:hAnsi="Times New Roman"/>
                <w:sz w:val="16"/>
                <w:szCs w:val="16"/>
                <w:vertAlign w:val="subscript"/>
              </w:rPr>
              <w:t>3</w:t>
            </w:r>
            <w:r w:rsidR="008B65F7">
              <w:rPr>
                <w:rFonts w:ascii="Times New Roman" w:hAnsi="Times New Roman"/>
                <w:sz w:val="16"/>
                <w:szCs w:val="16"/>
              </w:rPr>
              <w:t>-Citrat</w:t>
            </w:r>
            <w:r w:rsidRPr="00D91B1A">
              <w:rPr>
                <w:rFonts w:ascii="Times New Roman" w:hAnsi="Times New Roman"/>
                <w:sz w:val="16"/>
                <w:szCs w:val="16"/>
              </w:rPr>
              <w:t xml:space="preserve"> </w:t>
            </w:r>
            <w:r w:rsidRPr="00D91B1A">
              <w:rPr>
                <w:rFonts w:ascii="Times New Roman" w:hAnsi="Times New Roman"/>
                <w:sz w:val="16"/>
                <w:szCs w:val="16"/>
              </w:rPr>
              <w:tab/>
            </w:r>
            <w:r w:rsidRPr="00D91B1A">
              <w:rPr>
                <w:rFonts w:ascii="Times New Roman" w:hAnsi="Times New Roman"/>
                <w:sz w:val="16"/>
                <w:szCs w:val="16"/>
              </w:rPr>
              <w:tab/>
            </w:r>
            <w:r w:rsidR="00957EEF">
              <w:rPr>
                <w:rFonts w:ascii="Times New Roman" w:hAnsi="Times New Roman"/>
                <w:sz w:val="16"/>
                <w:szCs w:val="16"/>
              </w:rPr>
              <w:tab/>
              <w:t>10,</w:t>
            </w:r>
            <w:r w:rsidR="008B65F7">
              <w:rPr>
                <w:rFonts w:ascii="Times New Roman" w:hAnsi="Times New Roman"/>
                <w:sz w:val="16"/>
                <w:szCs w:val="16"/>
              </w:rPr>
              <w:t>8</w:t>
            </w:r>
            <w:r w:rsidR="008B65F7" w:rsidRPr="000709B0">
              <w:rPr>
                <w:rFonts w:ascii="Times New Roman" w:hAnsi="Times New Roman"/>
                <w:sz w:val="16"/>
                <w:szCs w:val="16"/>
              </w:rPr>
              <w:t> </w:t>
            </w:r>
            <w:r w:rsidRPr="00D91B1A">
              <w:rPr>
                <w:rFonts w:ascii="Times New Roman" w:hAnsi="Times New Roman"/>
                <w:sz w:val="16"/>
                <w:szCs w:val="16"/>
              </w:rPr>
              <w:t>mmol/l</w:t>
            </w:r>
          </w:p>
          <w:p w:rsidR="00355E9F" w:rsidRPr="00957EEF" w:rsidRDefault="008B65F7" w:rsidP="0075351F">
            <w:pPr>
              <w:widowControl w:val="0"/>
              <w:rPr>
                <w:rFonts w:ascii="Times New Roman" w:hAnsi="Times New Roman"/>
                <w:sz w:val="16"/>
                <w:szCs w:val="16"/>
              </w:rPr>
            </w:pPr>
            <w:r w:rsidRPr="00957EEF">
              <w:rPr>
                <w:rFonts w:ascii="Times New Roman" w:hAnsi="Times New Roman"/>
                <w:sz w:val="16"/>
                <w:szCs w:val="16"/>
              </w:rPr>
              <w:t>Na-Acetat</w:t>
            </w:r>
            <w:r w:rsidR="00355E9F" w:rsidRPr="00957EEF">
              <w:rPr>
                <w:rFonts w:ascii="Times New Roman" w:hAnsi="Times New Roman"/>
                <w:sz w:val="16"/>
                <w:szCs w:val="16"/>
              </w:rPr>
              <w:t xml:space="preserve"> </w:t>
            </w:r>
            <w:r w:rsidR="00355E9F" w:rsidRPr="00957EEF">
              <w:rPr>
                <w:rFonts w:ascii="Times New Roman" w:hAnsi="Times New Roman"/>
                <w:sz w:val="16"/>
                <w:szCs w:val="16"/>
              </w:rPr>
              <w:tab/>
            </w:r>
            <w:r w:rsidR="00355E9F" w:rsidRPr="00957EEF">
              <w:rPr>
                <w:rFonts w:ascii="Times New Roman" w:hAnsi="Times New Roman"/>
                <w:sz w:val="16"/>
                <w:szCs w:val="16"/>
              </w:rPr>
              <w:tab/>
            </w:r>
            <w:r w:rsidR="00957EEF">
              <w:rPr>
                <w:rFonts w:ascii="Times New Roman" w:hAnsi="Times New Roman"/>
                <w:sz w:val="16"/>
                <w:szCs w:val="16"/>
              </w:rPr>
              <w:tab/>
              <w:t>32,</w:t>
            </w:r>
            <w:r w:rsidRPr="00957EEF">
              <w:rPr>
                <w:rFonts w:ascii="Times New Roman" w:hAnsi="Times New Roman"/>
                <w:sz w:val="16"/>
                <w:szCs w:val="16"/>
              </w:rPr>
              <w:t>5</w:t>
            </w:r>
            <w:r w:rsidRPr="000709B0">
              <w:rPr>
                <w:rFonts w:ascii="Times New Roman" w:hAnsi="Times New Roman"/>
                <w:sz w:val="16"/>
                <w:szCs w:val="16"/>
              </w:rPr>
              <w:t> </w:t>
            </w:r>
            <w:r w:rsidR="00355E9F" w:rsidRPr="00957EEF">
              <w:rPr>
                <w:rFonts w:ascii="Times New Roman" w:hAnsi="Times New Roman"/>
                <w:sz w:val="16"/>
                <w:szCs w:val="16"/>
              </w:rPr>
              <w:t xml:space="preserve">mmol/l </w:t>
            </w:r>
          </w:p>
          <w:p w:rsidR="00355E9F" w:rsidRPr="00957EEF" w:rsidRDefault="008B65F7" w:rsidP="0075351F">
            <w:pPr>
              <w:widowControl w:val="0"/>
              <w:rPr>
                <w:rFonts w:ascii="Times New Roman" w:hAnsi="Times New Roman"/>
                <w:sz w:val="16"/>
                <w:szCs w:val="16"/>
              </w:rPr>
            </w:pPr>
            <w:r w:rsidRPr="00957EEF">
              <w:rPr>
                <w:rFonts w:ascii="Times New Roman" w:hAnsi="Times New Roman"/>
                <w:sz w:val="16"/>
                <w:szCs w:val="16"/>
              </w:rPr>
              <w:t>Na</w:t>
            </w:r>
            <w:r w:rsidRPr="00957EEF">
              <w:rPr>
                <w:rFonts w:ascii="Times New Roman" w:hAnsi="Times New Roman"/>
                <w:sz w:val="16"/>
                <w:szCs w:val="16"/>
                <w:vertAlign w:val="subscript"/>
              </w:rPr>
              <w:t>2</w:t>
            </w:r>
            <w:r w:rsidRPr="00957EEF">
              <w:rPr>
                <w:rFonts w:ascii="Times New Roman" w:hAnsi="Times New Roman"/>
                <w:sz w:val="16"/>
                <w:szCs w:val="16"/>
              </w:rPr>
              <w:t>HPO</w:t>
            </w:r>
            <w:r w:rsidRPr="00957EEF">
              <w:rPr>
                <w:rFonts w:ascii="Times New Roman" w:hAnsi="Times New Roman"/>
                <w:sz w:val="16"/>
                <w:szCs w:val="16"/>
                <w:vertAlign w:val="subscript"/>
              </w:rPr>
              <w:t>4</w:t>
            </w:r>
            <w:r w:rsidRPr="00957EEF">
              <w:rPr>
                <w:rFonts w:ascii="Times New Roman" w:hAnsi="Times New Roman"/>
                <w:sz w:val="16"/>
                <w:szCs w:val="16"/>
              </w:rPr>
              <w:t>/NaH</w:t>
            </w:r>
            <w:r w:rsidRPr="00957EEF">
              <w:rPr>
                <w:rFonts w:ascii="Times New Roman" w:hAnsi="Times New Roman"/>
                <w:sz w:val="16"/>
                <w:szCs w:val="16"/>
                <w:vertAlign w:val="subscript"/>
              </w:rPr>
              <w:t>2</w:t>
            </w:r>
            <w:r w:rsidRPr="00957EEF">
              <w:rPr>
                <w:rFonts w:ascii="Times New Roman" w:hAnsi="Times New Roman"/>
                <w:sz w:val="16"/>
                <w:szCs w:val="16"/>
              </w:rPr>
              <w:t>PO</w:t>
            </w:r>
            <w:r w:rsidRPr="00957EEF">
              <w:rPr>
                <w:rFonts w:ascii="Times New Roman" w:hAnsi="Times New Roman"/>
                <w:sz w:val="16"/>
                <w:szCs w:val="16"/>
                <w:vertAlign w:val="subscript"/>
              </w:rPr>
              <w:t>4</w:t>
            </w:r>
            <w:r w:rsidRPr="00957EEF">
              <w:rPr>
                <w:rFonts w:ascii="Times New Roman" w:hAnsi="Times New Roman"/>
                <w:sz w:val="16"/>
                <w:szCs w:val="16"/>
              </w:rPr>
              <w:t xml:space="preserve"> </w:t>
            </w:r>
            <w:r w:rsidRPr="00957EEF">
              <w:rPr>
                <w:rFonts w:ascii="Times New Roman" w:hAnsi="Times New Roman"/>
                <w:sz w:val="16"/>
                <w:szCs w:val="16"/>
              </w:rPr>
              <w:tab/>
            </w:r>
            <w:r w:rsidRPr="00957EEF">
              <w:rPr>
                <w:rFonts w:ascii="Times New Roman" w:hAnsi="Times New Roman"/>
                <w:sz w:val="16"/>
                <w:szCs w:val="16"/>
              </w:rPr>
              <w:tab/>
              <w:t>28.2</w:t>
            </w:r>
            <w:r w:rsidRPr="000709B0">
              <w:rPr>
                <w:rFonts w:ascii="Times New Roman" w:hAnsi="Times New Roman"/>
                <w:sz w:val="16"/>
                <w:szCs w:val="16"/>
              </w:rPr>
              <w:t> </w:t>
            </w:r>
            <w:r w:rsidR="00355E9F" w:rsidRPr="00957EEF">
              <w:rPr>
                <w:rFonts w:ascii="Times New Roman" w:hAnsi="Times New Roman"/>
                <w:sz w:val="16"/>
                <w:szCs w:val="16"/>
              </w:rPr>
              <w:t>mmol/l</w:t>
            </w:r>
          </w:p>
          <w:p w:rsidR="00355E9F" w:rsidRPr="00D91B1A" w:rsidRDefault="00355E9F" w:rsidP="0075351F">
            <w:pPr>
              <w:widowControl w:val="0"/>
              <w:rPr>
                <w:rFonts w:ascii="Times New Roman" w:hAnsi="Times New Roman"/>
                <w:sz w:val="16"/>
                <w:szCs w:val="16"/>
                <w:lang w:val="en-US"/>
              </w:rPr>
            </w:pPr>
            <w:r w:rsidRPr="00D91B1A">
              <w:rPr>
                <w:rFonts w:ascii="Times New Roman" w:hAnsi="Times New Roman"/>
                <w:sz w:val="16"/>
                <w:szCs w:val="16"/>
                <w:lang w:val="en-US"/>
              </w:rPr>
              <w:t>KCl</w:t>
            </w:r>
            <w:r w:rsidRPr="00D91B1A">
              <w:rPr>
                <w:rFonts w:ascii="Times New Roman" w:hAnsi="Times New Roman"/>
                <w:sz w:val="16"/>
                <w:szCs w:val="16"/>
                <w:lang w:val="en-US"/>
              </w:rPr>
              <w:tab/>
            </w:r>
            <w:r w:rsidRPr="00D91B1A">
              <w:rPr>
                <w:rFonts w:ascii="Times New Roman" w:hAnsi="Times New Roman"/>
                <w:sz w:val="16"/>
                <w:szCs w:val="16"/>
                <w:lang w:val="en-US"/>
              </w:rPr>
              <w:tab/>
            </w:r>
            <w:r w:rsidRPr="00D91B1A">
              <w:rPr>
                <w:rFonts w:ascii="Times New Roman" w:hAnsi="Times New Roman"/>
                <w:sz w:val="16"/>
                <w:szCs w:val="16"/>
                <w:lang w:val="en-US"/>
              </w:rPr>
              <w:tab/>
            </w:r>
            <w:r w:rsidR="00957EEF">
              <w:rPr>
                <w:rFonts w:ascii="Times New Roman" w:hAnsi="Times New Roman"/>
                <w:sz w:val="16"/>
                <w:szCs w:val="16"/>
                <w:lang w:val="en-US"/>
              </w:rPr>
              <w:tab/>
              <w:t>5,</w:t>
            </w:r>
            <w:r w:rsidR="008B65F7">
              <w:rPr>
                <w:rFonts w:ascii="Times New Roman" w:hAnsi="Times New Roman"/>
                <w:sz w:val="16"/>
                <w:szCs w:val="16"/>
                <w:lang w:val="en-US"/>
              </w:rPr>
              <w:t>0</w:t>
            </w:r>
            <w:r w:rsidR="008B65F7" w:rsidRPr="00957EEF">
              <w:rPr>
                <w:rFonts w:ascii="Times New Roman" w:hAnsi="Times New Roman"/>
                <w:sz w:val="16"/>
                <w:szCs w:val="16"/>
                <w:lang w:val="en-GB"/>
              </w:rPr>
              <w:t> </w:t>
            </w:r>
            <w:r w:rsidRPr="00D91B1A">
              <w:rPr>
                <w:rFonts w:ascii="Times New Roman" w:hAnsi="Times New Roman"/>
                <w:sz w:val="16"/>
                <w:szCs w:val="16"/>
                <w:lang w:val="en-US"/>
              </w:rPr>
              <w:t>mmol/l</w:t>
            </w:r>
          </w:p>
          <w:p w:rsidR="00355E9F" w:rsidRPr="00D91B1A" w:rsidRDefault="00355E9F" w:rsidP="0075351F">
            <w:pPr>
              <w:widowControl w:val="0"/>
              <w:rPr>
                <w:rFonts w:ascii="Times New Roman" w:hAnsi="Times New Roman"/>
                <w:sz w:val="16"/>
                <w:szCs w:val="16"/>
                <w:lang w:val="en-GB"/>
              </w:rPr>
            </w:pPr>
            <w:r w:rsidRPr="00D91B1A">
              <w:rPr>
                <w:rFonts w:ascii="Times New Roman" w:hAnsi="Times New Roman"/>
                <w:sz w:val="16"/>
                <w:szCs w:val="16"/>
                <w:lang w:val="en-GB"/>
              </w:rPr>
              <w:t>MgCl</w:t>
            </w:r>
            <w:r w:rsidRPr="008B65F7">
              <w:rPr>
                <w:rFonts w:ascii="Times New Roman" w:hAnsi="Times New Roman"/>
                <w:sz w:val="16"/>
                <w:szCs w:val="16"/>
                <w:vertAlign w:val="subscript"/>
                <w:lang w:val="en-GB"/>
              </w:rPr>
              <w:t>2</w:t>
            </w:r>
            <w:r w:rsidRPr="00D91B1A">
              <w:rPr>
                <w:rFonts w:ascii="Times New Roman" w:hAnsi="Times New Roman"/>
                <w:sz w:val="16"/>
                <w:szCs w:val="16"/>
                <w:lang w:val="en-GB"/>
              </w:rPr>
              <w:t xml:space="preserve"> </w:t>
            </w:r>
            <w:r w:rsidRPr="00D91B1A">
              <w:rPr>
                <w:rFonts w:ascii="Times New Roman" w:hAnsi="Times New Roman"/>
                <w:sz w:val="16"/>
                <w:szCs w:val="16"/>
                <w:lang w:val="en-GB"/>
              </w:rPr>
              <w:tab/>
            </w:r>
            <w:r w:rsidRPr="00D91B1A">
              <w:rPr>
                <w:rFonts w:ascii="Times New Roman" w:hAnsi="Times New Roman"/>
                <w:sz w:val="16"/>
                <w:szCs w:val="16"/>
                <w:lang w:val="en-GB"/>
              </w:rPr>
              <w:tab/>
            </w:r>
            <w:r w:rsidRPr="00D91B1A">
              <w:rPr>
                <w:rFonts w:ascii="Times New Roman" w:hAnsi="Times New Roman"/>
                <w:sz w:val="16"/>
                <w:szCs w:val="16"/>
                <w:lang w:val="en-GB"/>
              </w:rPr>
              <w:tab/>
            </w:r>
            <w:r w:rsidR="008B65F7">
              <w:rPr>
                <w:rFonts w:ascii="Times New Roman" w:hAnsi="Times New Roman"/>
                <w:sz w:val="16"/>
                <w:szCs w:val="16"/>
                <w:lang w:val="en-GB"/>
              </w:rPr>
              <w:tab/>
            </w:r>
            <w:r w:rsidR="00957EEF">
              <w:rPr>
                <w:rFonts w:ascii="Times New Roman" w:hAnsi="Times New Roman"/>
                <w:sz w:val="16"/>
                <w:szCs w:val="16"/>
                <w:lang w:val="en-GB"/>
              </w:rPr>
              <w:t>1,</w:t>
            </w:r>
            <w:r w:rsidRPr="00D91B1A">
              <w:rPr>
                <w:rFonts w:ascii="Times New Roman" w:hAnsi="Times New Roman"/>
                <w:sz w:val="16"/>
                <w:szCs w:val="16"/>
                <w:lang w:val="en-GB"/>
              </w:rPr>
              <w:t>5</w:t>
            </w:r>
            <w:r w:rsidR="008B65F7" w:rsidRPr="00957EEF">
              <w:rPr>
                <w:rFonts w:ascii="Times New Roman" w:hAnsi="Times New Roman"/>
                <w:sz w:val="16"/>
                <w:szCs w:val="16"/>
                <w:lang w:val="en-GB"/>
              </w:rPr>
              <w:t> </w:t>
            </w:r>
            <w:r w:rsidRPr="00D91B1A">
              <w:rPr>
                <w:rFonts w:ascii="Times New Roman" w:hAnsi="Times New Roman"/>
                <w:sz w:val="16"/>
                <w:szCs w:val="16"/>
                <w:lang w:val="en-GB"/>
              </w:rPr>
              <w:t>mmol/l]</w:t>
            </w:r>
          </w:p>
          <w:p w:rsidR="00355E9F" w:rsidRPr="00D91B1A" w:rsidRDefault="00355E9F" w:rsidP="0075351F">
            <w:pPr>
              <w:widowControl w:val="0"/>
              <w:rPr>
                <w:rFonts w:ascii="Times New Roman" w:hAnsi="Times New Roman"/>
                <w:sz w:val="16"/>
                <w:szCs w:val="16"/>
                <w:lang w:val="en-GB"/>
              </w:rPr>
            </w:pPr>
            <w:r w:rsidRPr="00D91B1A">
              <w:rPr>
                <w:rFonts w:ascii="Times New Roman" w:hAnsi="Times New Roman"/>
                <w:sz w:val="16"/>
                <w:szCs w:val="16"/>
                <w:lang w:val="en-GB"/>
              </w:rPr>
              <w:t>Aqua ad iniectabilia ad 1000</w:t>
            </w:r>
            <w:r w:rsidR="008B65F7" w:rsidRPr="000709B0">
              <w:rPr>
                <w:rFonts w:ascii="Times New Roman" w:hAnsi="Times New Roman"/>
                <w:sz w:val="16"/>
                <w:szCs w:val="16"/>
              </w:rPr>
              <w:t> </w:t>
            </w:r>
            <w:r w:rsidRPr="00D91B1A">
              <w:rPr>
                <w:rFonts w:ascii="Times New Roman" w:hAnsi="Times New Roman"/>
                <w:sz w:val="16"/>
                <w:szCs w:val="16"/>
                <w:lang w:val="en-GB"/>
              </w:rPr>
              <w:t>ml</w:t>
            </w:r>
          </w:p>
          <w:p w:rsidR="00355E9F" w:rsidRPr="00D91B1A" w:rsidRDefault="00355E9F" w:rsidP="0075351F">
            <w:pPr>
              <w:widowControl w:val="0"/>
              <w:rPr>
                <w:rFonts w:ascii="Times New Roman" w:hAnsi="Times New Roman"/>
                <w:sz w:val="16"/>
                <w:szCs w:val="16"/>
                <w:lang w:val="en-GB"/>
              </w:rPr>
            </w:pPr>
          </w:p>
        </w:tc>
        <w:tc>
          <w:tcPr>
            <w:tcW w:w="5245" w:type="dxa"/>
            <w:shd w:val="clear" w:color="auto" w:fill="auto"/>
          </w:tcPr>
          <w:p w:rsidR="00355E9F" w:rsidRPr="00D91B1A" w:rsidRDefault="008B65F7" w:rsidP="0075351F">
            <w:pPr>
              <w:widowControl w:val="0"/>
              <w:rPr>
                <w:rFonts w:ascii="Times New Roman" w:hAnsi="Times New Roman"/>
                <w:sz w:val="16"/>
                <w:szCs w:val="16"/>
              </w:rPr>
            </w:pPr>
            <w:r>
              <w:rPr>
                <w:rFonts w:ascii="Times New Roman" w:hAnsi="Times New Roman"/>
                <w:sz w:val="16"/>
                <w:szCs w:val="16"/>
              </w:rPr>
              <w:t>1000</w:t>
            </w:r>
            <w:r w:rsidRPr="000709B0">
              <w:rPr>
                <w:rFonts w:ascii="Times New Roman" w:hAnsi="Times New Roman"/>
                <w:sz w:val="16"/>
                <w:szCs w:val="16"/>
              </w:rPr>
              <w:t> </w:t>
            </w:r>
            <w:r w:rsidR="00355E9F" w:rsidRPr="00D91B1A">
              <w:rPr>
                <w:rFonts w:ascii="Times New Roman" w:hAnsi="Times New Roman"/>
                <w:sz w:val="16"/>
                <w:szCs w:val="16"/>
              </w:rPr>
              <w:t xml:space="preserve">ml ACDA-Stabilisatorlösung enthalten: </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Natriumcitrat x 2H</w:t>
            </w:r>
            <w:r w:rsidRPr="008B65F7">
              <w:rPr>
                <w:rFonts w:ascii="Times New Roman" w:hAnsi="Times New Roman"/>
                <w:sz w:val="16"/>
                <w:szCs w:val="16"/>
                <w:vertAlign w:val="subscript"/>
              </w:rPr>
              <w:t>2</w:t>
            </w:r>
            <w:r w:rsidRPr="00D91B1A">
              <w:rPr>
                <w:rFonts w:ascii="Times New Roman" w:hAnsi="Times New Roman"/>
                <w:sz w:val="16"/>
                <w:szCs w:val="16"/>
              </w:rPr>
              <w:t xml:space="preserve">O: </w:t>
            </w:r>
            <w:r w:rsidRPr="00D91B1A">
              <w:rPr>
                <w:rFonts w:ascii="Times New Roman" w:hAnsi="Times New Roman"/>
                <w:sz w:val="16"/>
                <w:szCs w:val="16"/>
              </w:rPr>
              <w:tab/>
            </w:r>
            <w:r w:rsidRPr="00D91B1A">
              <w:rPr>
                <w:rFonts w:ascii="Times New Roman" w:hAnsi="Times New Roman"/>
                <w:sz w:val="16"/>
                <w:szCs w:val="16"/>
              </w:rPr>
              <w:tab/>
              <w:t>22,0</w:t>
            </w:r>
            <w:r w:rsidR="008B65F7" w:rsidRPr="000709B0">
              <w:rPr>
                <w:rFonts w:ascii="Times New Roman" w:hAnsi="Times New Roman"/>
                <w:sz w:val="16"/>
                <w:szCs w:val="16"/>
              </w:rPr>
              <w:t> </w:t>
            </w:r>
            <w:r w:rsidRPr="00D91B1A">
              <w:rPr>
                <w:rFonts w:ascii="Times New Roman" w:hAnsi="Times New Roman"/>
                <w:sz w:val="16"/>
                <w:szCs w:val="16"/>
              </w:rPr>
              <w:t>g</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Citronensäure x H</w:t>
            </w:r>
            <w:r w:rsidRPr="008B65F7">
              <w:rPr>
                <w:rFonts w:ascii="Times New Roman" w:hAnsi="Times New Roman"/>
                <w:sz w:val="16"/>
                <w:szCs w:val="16"/>
                <w:vertAlign w:val="subscript"/>
              </w:rPr>
              <w:t>2</w:t>
            </w:r>
            <w:r w:rsidRPr="00D91B1A">
              <w:rPr>
                <w:rFonts w:ascii="Times New Roman" w:hAnsi="Times New Roman"/>
                <w:sz w:val="16"/>
                <w:szCs w:val="16"/>
              </w:rPr>
              <w:t xml:space="preserve">O: </w:t>
            </w:r>
            <w:r w:rsidRPr="00D91B1A">
              <w:rPr>
                <w:rFonts w:ascii="Times New Roman" w:hAnsi="Times New Roman"/>
                <w:sz w:val="16"/>
                <w:szCs w:val="16"/>
              </w:rPr>
              <w:tab/>
            </w:r>
            <w:r w:rsidRPr="00D91B1A">
              <w:rPr>
                <w:rFonts w:ascii="Times New Roman" w:hAnsi="Times New Roman"/>
                <w:sz w:val="16"/>
                <w:szCs w:val="16"/>
              </w:rPr>
              <w:tab/>
              <w:t>8,0</w:t>
            </w:r>
            <w:r w:rsidR="008B65F7" w:rsidRPr="000709B0">
              <w:rPr>
                <w:rFonts w:ascii="Times New Roman" w:hAnsi="Times New Roman"/>
                <w:sz w:val="16"/>
                <w:szCs w:val="16"/>
              </w:rPr>
              <w:t> </w:t>
            </w:r>
            <w:r w:rsidRPr="00D91B1A">
              <w:rPr>
                <w:rFonts w:ascii="Times New Roman" w:hAnsi="Times New Roman"/>
                <w:sz w:val="16"/>
                <w:szCs w:val="16"/>
              </w:rPr>
              <w:t>g</w:t>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Glucose x H</w:t>
            </w:r>
            <w:r w:rsidRPr="008B65F7">
              <w:rPr>
                <w:rFonts w:ascii="Times New Roman" w:hAnsi="Times New Roman"/>
                <w:sz w:val="16"/>
                <w:szCs w:val="16"/>
                <w:vertAlign w:val="subscript"/>
              </w:rPr>
              <w:t>2</w:t>
            </w:r>
            <w:r w:rsidRPr="00D91B1A">
              <w:rPr>
                <w:rFonts w:ascii="Times New Roman" w:hAnsi="Times New Roman"/>
                <w:sz w:val="16"/>
                <w:szCs w:val="16"/>
              </w:rPr>
              <w:t xml:space="preserve">O: </w:t>
            </w:r>
            <w:r w:rsidRPr="00D91B1A">
              <w:rPr>
                <w:rFonts w:ascii="Times New Roman" w:hAnsi="Times New Roman"/>
                <w:sz w:val="16"/>
                <w:szCs w:val="16"/>
              </w:rPr>
              <w:tab/>
            </w:r>
            <w:r w:rsidRPr="00D91B1A">
              <w:rPr>
                <w:rFonts w:ascii="Times New Roman" w:hAnsi="Times New Roman"/>
                <w:sz w:val="16"/>
                <w:szCs w:val="16"/>
              </w:rPr>
              <w:tab/>
            </w:r>
            <w:r w:rsidR="008B65F7">
              <w:rPr>
                <w:rFonts w:ascii="Times New Roman" w:hAnsi="Times New Roman"/>
                <w:sz w:val="16"/>
                <w:szCs w:val="16"/>
              </w:rPr>
              <w:tab/>
            </w:r>
            <w:r w:rsidRPr="00D91B1A">
              <w:rPr>
                <w:rFonts w:ascii="Times New Roman" w:hAnsi="Times New Roman"/>
                <w:sz w:val="16"/>
                <w:szCs w:val="16"/>
              </w:rPr>
              <w:t>24,5</w:t>
            </w:r>
            <w:r w:rsidR="008B65F7" w:rsidRPr="000709B0">
              <w:rPr>
                <w:rFonts w:ascii="Times New Roman" w:hAnsi="Times New Roman"/>
                <w:sz w:val="16"/>
                <w:szCs w:val="16"/>
              </w:rPr>
              <w:t> </w:t>
            </w:r>
            <w:r w:rsidRPr="00D91B1A">
              <w:rPr>
                <w:rFonts w:ascii="Times New Roman" w:hAnsi="Times New Roman"/>
                <w:sz w:val="16"/>
                <w:szCs w:val="16"/>
              </w:rPr>
              <w:t>g</w:t>
            </w:r>
            <w:r w:rsidRPr="00D91B1A">
              <w:rPr>
                <w:rFonts w:ascii="Times New Roman" w:hAnsi="Times New Roman"/>
                <w:sz w:val="16"/>
                <w:szCs w:val="16"/>
              </w:rPr>
              <w:tab/>
            </w:r>
            <w:r w:rsidRPr="00D91B1A">
              <w:rPr>
                <w:rFonts w:ascii="Times New Roman" w:hAnsi="Times New Roman"/>
                <w:sz w:val="16"/>
                <w:szCs w:val="16"/>
              </w:rPr>
              <w:tab/>
            </w:r>
            <w:r w:rsidRPr="00D91B1A">
              <w:rPr>
                <w:rFonts w:ascii="Times New Roman" w:hAnsi="Times New Roman"/>
                <w:sz w:val="16"/>
                <w:szCs w:val="16"/>
              </w:rPr>
              <w:tab/>
            </w:r>
          </w:p>
          <w:p w:rsidR="00355E9F" w:rsidRPr="00D91B1A" w:rsidRDefault="00355E9F" w:rsidP="0075351F">
            <w:pPr>
              <w:widowControl w:val="0"/>
              <w:rPr>
                <w:rFonts w:ascii="Times New Roman" w:hAnsi="Times New Roman"/>
                <w:sz w:val="16"/>
                <w:szCs w:val="16"/>
              </w:rPr>
            </w:pPr>
            <w:r w:rsidRPr="00D91B1A">
              <w:rPr>
                <w:rFonts w:ascii="Times New Roman" w:hAnsi="Times New Roman"/>
                <w:sz w:val="16"/>
                <w:szCs w:val="16"/>
              </w:rPr>
              <w:t>Wasser für Injektionszwecke ad 1000</w:t>
            </w:r>
            <w:r w:rsidR="008B65F7" w:rsidRPr="000709B0">
              <w:rPr>
                <w:rFonts w:ascii="Times New Roman" w:hAnsi="Times New Roman"/>
                <w:sz w:val="16"/>
                <w:szCs w:val="16"/>
              </w:rPr>
              <w:t> </w:t>
            </w:r>
            <w:r w:rsidRPr="00D91B1A">
              <w:rPr>
                <w:rFonts w:ascii="Times New Roman" w:hAnsi="Times New Roman"/>
                <w:sz w:val="16"/>
                <w:szCs w:val="16"/>
              </w:rPr>
              <w:t>ml</w:t>
            </w:r>
          </w:p>
          <w:p w:rsidR="00355E9F" w:rsidRPr="00D91B1A" w:rsidRDefault="00355E9F" w:rsidP="0075351F">
            <w:pPr>
              <w:widowControl w:val="0"/>
              <w:rPr>
                <w:rFonts w:ascii="Times New Roman" w:hAnsi="Times New Roman"/>
                <w:sz w:val="16"/>
                <w:szCs w:val="16"/>
              </w:rPr>
            </w:pP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widowControl w:val="0"/>
              <w:numPr>
                <w:ilvl w:val="12"/>
                <w:numId w:val="0"/>
              </w:numPr>
              <w:jc w:val="both"/>
              <w:rPr>
                <w:rFonts w:ascii="Times New Roman" w:hAnsi="Times New Roman"/>
                <w:b/>
                <w:sz w:val="16"/>
                <w:szCs w:val="16"/>
              </w:rPr>
            </w:pPr>
            <w:r w:rsidRPr="00D91B1A">
              <w:rPr>
                <w:rFonts w:ascii="Times New Roman" w:hAnsi="Times New Roman"/>
                <w:b/>
                <w:sz w:val="16"/>
                <w:szCs w:val="16"/>
              </w:rPr>
              <w:t>d) Darreichungsform und Inhalt, Behältnis</w:t>
            </w:r>
          </w:p>
          <w:p w:rsidR="00355E9F" w:rsidRPr="00D91B1A" w:rsidRDefault="008B65F7" w:rsidP="0075351F">
            <w:pPr>
              <w:widowControl w:val="0"/>
              <w:jc w:val="both"/>
              <w:rPr>
                <w:rFonts w:ascii="Times New Roman" w:hAnsi="Times New Roman"/>
                <w:sz w:val="16"/>
                <w:szCs w:val="16"/>
              </w:rPr>
            </w:pPr>
            <w:r>
              <w:rPr>
                <w:rFonts w:ascii="Times New Roman" w:hAnsi="Times New Roman"/>
                <w:sz w:val="16"/>
                <w:szCs w:val="16"/>
              </w:rPr>
              <w:t>190 bis 340</w:t>
            </w:r>
            <w:r w:rsidRPr="000709B0">
              <w:rPr>
                <w:rFonts w:ascii="Times New Roman" w:hAnsi="Times New Roman"/>
                <w:sz w:val="16"/>
                <w:szCs w:val="16"/>
              </w:rPr>
              <w:t> </w:t>
            </w:r>
            <w:r w:rsidR="00355E9F" w:rsidRPr="00D91B1A">
              <w:rPr>
                <w:rFonts w:ascii="Times New Roman" w:hAnsi="Times New Roman"/>
                <w:sz w:val="16"/>
                <w:szCs w:val="16"/>
              </w:rPr>
              <w:t>m</w:t>
            </w:r>
            <w:r>
              <w:rPr>
                <w:rFonts w:ascii="Times New Roman" w:hAnsi="Times New Roman"/>
                <w:sz w:val="16"/>
                <w:szCs w:val="16"/>
              </w:rPr>
              <w:t>l bzw. 40 bis 60</w:t>
            </w:r>
            <w:r w:rsidRPr="000709B0">
              <w:rPr>
                <w:rFonts w:ascii="Times New Roman" w:hAnsi="Times New Roman"/>
                <w:sz w:val="16"/>
                <w:szCs w:val="16"/>
              </w:rPr>
              <w:t> </w:t>
            </w:r>
            <w:r w:rsidR="00355E9F" w:rsidRPr="00D91B1A">
              <w:rPr>
                <w:rFonts w:ascii="Times New Roman" w:hAnsi="Times New Roman"/>
                <w:sz w:val="16"/>
                <w:szCs w:val="16"/>
              </w:rPr>
              <w:t>ml (Babypackung) Suspension im Kunststoffbeutel mit CE-Zertifikat</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widowControl w:val="0"/>
              <w:jc w:val="both"/>
              <w:rPr>
                <w:rFonts w:ascii="Times New Roman" w:hAnsi="Times New Roman"/>
                <w:b/>
                <w:sz w:val="16"/>
                <w:szCs w:val="16"/>
              </w:rPr>
            </w:pPr>
            <w:r w:rsidRPr="00D91B1A">
              <w:rPr>
                <w:rFonts w:ascii="Times New Roman" w:hAnsi="Times New Roman"/>
                <w:b/>
                <w:sz w:val="16"/>
                <w:szCs w:val="16"/>
              </w:rPr>
              <w:t xml:space="preserve">e) Angaben zum pharmazeutischen Unternehmer/Inhaber der Zulassung </w:t>
            </w:r>
          </w:p>
          <w:p w:rsidR="00355E9F" w:rsidRPr="00D91B1A" w:rsidRDefault="00355E9F" w:rsidP="0075351F">
            <w:pPr>
              <w:widowControl w:val="0"/>
              <w:jc w:val="both"/>
              <w:rPr>
                <w:rFonts w:ascii="Times New Roman" w:hAnsi="Times New Roman"/>
                <w:bCs/>
                <w:sz w:val="16"/>
                <w:szCs w:val="16"/>
              </w:rPr>
            </w:pPr>
            <w:r w:rsidRPr="00D91B1A">
              <w:rPr>
                <w:rFonts w:ascii="Times New Roman" w:hAnsi="Times New Roman"/>
                <w:sz w:val="16"/>
                <w:szCs w:val="16"/>
              </w:rPr>
              <w:t>Universitätsklinikum Freiburg, Breisacher Straße 153, 79110 Freiburg</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284422" w:rsidRDefault="00355E9F" w:rsidP="0075351F">
            <w:pPr>
              <w:widowControl w:val="0"/>
              <w:jc w:val="both"/>
              <w:rPr>
                <w:rFonts w:ascii="Times New Roman" w:hAnsi="Times New Roman"/>
                <w:b/>
                <w:sz w:val="16"/>
                <w:szCs w:val="16"/>
              </w:rPr>
            </w:pPr>
            <w:r w:rsidRPr="00284422">
              <w:rPr>
                <w:rFonts w:ascii="Times New Roman" w:hAnsi="Times New Roman"/>
                <w:b/>
                <w:sz w:val="16"/>
                <w:szCs w:val="16"/>
              </w:rPr>
              <w:t xml:space="preserve">f) Angaben zum Hersteller, der das Fertigarzneimittel für das Inverkehrbringen freigegeben hat </w:t>
            </w:r>
          </w:p>
          <w:p w:rsidR="00355E9F" w:rsidRPr="00284422" w:rsidRDefault="00355E9F" w:rsidP="003446D3">
            <w:pPr>
              <w:widowControl w:val="0"/>
              <w:jc w:val="both"/>
              <w:rPr>
                <w:rFonts w:ascii="Times New Roman" w:hAnsi="Times New Roman"/>
                <w:b/>
                <w:iCs/>
                <w:sz w:val="16"/>
                <w:szCs w:val="16"/>
              </w:rPr>
            </w:pPr>
            <w:r w:rsidRPr="00284422">
              <w:rPr>
                <w:rFonts w:ascii="Times New Roman" w:hAnsi="Times New Roman"/>
                <w:sz w:val="16"/>
                <w:szCs w:val="16"/>
              </w:rPr>
              <w:t>Institut für Transfusionsmedizin und Gentherapie, Universitätsklinikum Freiburg, Hugstetter</w:t>
            </w:r>
            <w:r w:rsidR="003446D3" w:rsidRPr="00284422">
              <w:rPr>
                <w:rFonts w:ascii="Times New Roman" w:hAnsi="Times New Roman"/>
                <w:sz w:val="16"/>
                <w:szCs w:val="16"/>
              </w:rPr>
              <w:t xml:space="preserve"> Str.</w:t>
            </w:r>
            <w:r w:rsidRPr="00284422">
              <w:rPr>
                <w:rFonts w:ascii="Times New Roman" w:hAnsi="Times New Roman"/>
                <w:sz w:val="16"/>
                <w:szCs w:val="16"/>
              </w:rPr>
              <w:t xml:space="preserve"> 55, 79106 Freiburg</w:t>
            </w:r>
            <w:r w:rsidRPr="00284422">
              <w:rPr>
                <w:rFonts w:ascii="Times New Roman" w:hAnsi="Times New Roman"/>
                <w:b/>
                <w:iCs/>
                <w:sz w:val="16"/>
                <w:szCs w:val="16"/>
              </w:rPr>
              <w:t xml:space="preserve"> </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284422" w:rsidRDefault="00355E9F" w:rsidP="0075351F">
            <w:pPr>
              <w:widowControl w:val="0"/>
              <w:jc w:val="both"/>
              <w:rPr>
                <w:rFonts w:ascii="Times New Roman" w:hAnsi="Times New Roman"/>
                <w:b/>
                <w:sz w:val="16"/>
                <w:szCs w:val="16"/>
              </w:rPr>
            </w:pPr>
            <w:r w:rsidRPr="00284422">
              <w:rPr>
                <w:rFonts w:ascii="Times New Roman" w:hAnsi="Times New Roman"/>
                <w:b/>
                <w:sz w:val="16"/>
                <w:szCs w:val="16"/>
              </w:rPr>
              <w:t>g) Zulassungsnummer</w:t>
            </w:r>
          </w:p>
          <w:p w:rsidR="00355E9F" w:rsidRPr="00284422" w:rsidRDefault="00355E9F" w:rsidP="0075351F">
            <w:pPr>
              <w:widowControl w:val="0"/>
              <w:jc w:val="both"/>
              <w:rPr>
                <w:rFonts w:ascii="Times New Roman" w:hAnsi="Times New Roman"/>
                <w:sz w:val="16"/>
                <w:szCs w:val="16"/>
              </w:rPr>
            </w:pPr>
            <w:r w:rsidRPr="00284422">
              <w:rPr>
                <w:rFonts w:ascii="Times New Roman" w:hAnsi="Times New Roman"/>
                <w:sz w:val="16"/>
                <w:szCs w:val="16"/>
              </w:rPr>
              <w:t>PEI.H. 01348.01.1</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h) Datum der Verlängerung der Zulassung</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4.5.2009</w:t>
            </w:r>
          </w:p>
        </w:tc>
      </w:tr>
      <w:tr w:rsidR="00355E9F" w:rsidRPr="00792041" w:rsidTr="00772B21">
        <w:tc>
          <w:tcPr>
            <w:tcW w:w="496" w:type="dxa"/>
          </w:tcPr>
          <w:p w:rsidR="00355E9F" w:rsidRPr="00792041" w:rsidRDefault="00355E9F" w:rsidP="00772B21">
            <w:pPr>
              <w:jc w:val="both"/>
              <w:rPr>
                <w:rFonts w:ascii="Times New Roman" w:hAnsi="Times New Roman"/>
                <w:sz w:val="16"/>
                <w:szCs w:val="16"/>
              </w:rPr>
            </w:pP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i) Arzneimittelstatus</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Verschreibungspflichtig</w:t>
            </w:r>
          </w:p>
        </w:tc>
      </w:tr>
      <w:tr w:rsidR="00355E9F" w:rsidRPr="00A83F36" w:rsidTr="00772B21">
        <w:tc>
          <w:tcPr>
            <w:tcW w:w="496" w:type="dxa"/>
          </w:tcPr>
          <w:p w:rsidR="00355E9F" w:rsidRPr="00A83F36" w:rsidRDefault="00355E9F" w:rsidP="00772B21">
            <w:pPr>
              <w:jc w:val="both"/>
              <w:rPr>
                <w:rFonts w:ascii="Times New Roman" w:hAnsi="Times New Roman"/>
                <w:b/>
                <w:color w:val="000000" w:themeColor="text1"/>
                <w:sz w:val="16"/>
                <w:szCs w:val="16"/>
              </w:rPr>
            </w:pPr>
            <w:r w:rsidRPr="00A83F36">
              <w:rPr>
                <w:rFonts w:ascii="Times New Roman" w:hAnsi="Times New Roman"/>
                <w:color w:val="000000" w:themeColor="text1"/>
                <w:sz w:val="16"/>
                <w:szCs w:val="16"/>
              </w:rPr>
              <w:br w:type="page"/>
            </w:r>
            <w:r w:rsidRPr="00A83F36">
              <w:rPr>
                <w:rFonts w:ascii="Times New Roman" w:hAnsi="Times New Roman"/>
                <w:b/>
                <w:color w:val="000000" w:themeColor="text1"/>
                <w:sz w:val="16"/>
                <w:szCs w:val="16"/>
              </w:rPr>
              <w:t>8.</w:t>
            </w:r>
          </w:p>
        </w:tc>
        <w:tc>
          <w:tcPr>
            <w:tcW w:w="9994" w:type="dxa"/>
            <w:gridSpan w:val="2"/>
          </w:tcPr>
          <w:p w:rsidR="00355E9F" w:rsidRPr="00D91B1A" w:rsidRDefault="00355E9F" w:rsidP="0075351F">
            <w:pPr>
              <w:jc w:val="both"/>
              <w:rPr>
                <w:rFonts w:ascii="Times New Roman" w:hAnsi="Times New Roman"/>
                <w:sz w:val="16"/>
                <w:szCs w:val="16"/>
                <w:u w:val="single"/>
              </w:rPr>
            </w:pPr>
            <w:r w:rsidRPr="00D91B1A">
              <w:rPr>
                <w:rFonts w:ascii="Times New Roman" w:hAnsi="Times New Roman"/>
                <w:b/>
                <w:sz w:val="16"/>
                <w:szCs w:val="16"/>
              </w:rPr>
              <w:t>Sonstige Hinweise</w:t>
            </w:r>
            <w:r w:rsidRPr="00D91B1A">
              <w:rPr>
                <w:rFonts w:ascii="Times New Roman" w:hAnsi="Times New Roman"/>
                <w:sz w:val="16"/>
                <w:szCs w:val="16"/>
                <w:u w:val="single"/>
              </w:rPr>
              <w:t xml:space="preserve"> </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 xml:space="preserve">Maßnahmen zur Reduktion des Übertragungsrisikos von Infektionserregern: </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Da bei der Anwendung von aus menschlichem Blut hergestellten Arzneimitteln die Übertragung von Infektionskrankheiten nicht völlig auszuschließen ist, werden Maßnahmen getroffen, um das Risiko einer Übertragung von infektiösem Material zu minimieren: Für die Herstellung werden ausschließlich Spenden gesunder Spender verwendet, die mit negativem Ergebnis getestet wurden auf Humanes Immundefizienz Virus (Anti-HIV-1/2-Ak, HIV-1 Genom), Hepatitis-B Virus (HBsAg), Hepatitis-C Virus (Anti-HCV-Ak, HCV-</w:t>
            </w:r>
            <w:r w:rsidRPr="00284422">
              <w:rPr>
                <w:rFonts w:ascii="Times New Roman" w:hAnsi="Times New Roman"/>
                <w:sz w:val="16"/>
                <w:szCs w:val="16"/>
              </w:rPr>
              <w:t>Genom), Hepatitis-E Virus (HEV-Genom)  und Treponema</w:t>
            </w:r>
            <w:r w:rsidRPr="00D91B1A">
              <w:rPr>
                <w:rFonts w:ascii="Times New Roman" w:hAnsi="Times New Roman"/>
                <w:sz w:val="16"/>
                <w:szCs w:val="16"/>
              </w:rPr>
              <w:t xml:space="preserve"> pallidum (Anti-Treponema pallidum-Ak).  Die Spender sind zusätzlich entweder negativ getestet auf Anti-HBc-AK oder </w:t>
            </w:r>
            <w:r w:rsidR="008B65F7" w:rsidRPr="00D91B1A">
              <w:rPr>
                <w:rFonts w:ascii="Times New Roman" w:hAnsi="Times New Roman"/>
                <w:sz w:val="16"/>
                <w:szCs w:val="16"/>
              </w:rPr>
              <w:t>–</w:t>
            </w:r>
            <w:r w:rsidRPr="00D91B1A">
              <w:rPr>
                <w:rFonts w:ascii="Times New Roman" w:hAnsi="Times New Roman"/>
                <w:sz w:val="16"/>
                <w:szCs w:val="16"/>
              </w:rPr>
              <w:t xml:space="preserve"> bei wiederholt reaktivem Ergebnis auf Anti-HBc-Antikörper – sind sie negativ getestet auf HBV-Genom (Mindestsensitivität 12 IU</w:t>
            </w:r>
            <w:r w:rsidR="008B65F7">
              <w:rPr>
                <w:rFonts w:ascii="Times New Roman" w:hAnsi="Times New Roman"/>
                <w:sz w:val="16"/>
                <w:szCs w:val="16"/>
              </w:rPr>
              <w:t>/</w:t>
            </w:r>
            <w:r w:rsidRPr="00D91B1A">
              <w:rPr>
                <w:rFonts w:ascii="Times New Roman" w:hAnsi="Times New Roman"/>
                <w:sz w:val="16"/>
                <w:szCs w:val="16"/>
              </w:rPr>
              <w:t xml:space="preserve">ml) und enthalten mindestens 100 IU/l an schützenden Anti-HBs-Antikörpern. </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Darüber hinaus kann durch die Leukozytendepletion das Risiko einer Übertragung von leukozytenassoziierten Viren (HTLV-I/II, CMV, EBV u.a.) und Bakterien (Yersinia enterocolitica) entscheidend vermindert werden.</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u w:val="single"/>
              </w:rPr>
              <w:t>Qualitätssicherung:</w:t>
            </w:r>
            <w:r w:rsidRPr="00D91B1A">
              <w:rPr>
                <w:rFonts w:ascii="Times New Roman" w:hAnsi="Times New Roman"/>
                <w:sz w:val="16"/>
                <w:szCs w:val="16"/>
              </w:rPr>
              <w:t xml:space="preserve"> </w:t>
            </w:r>
          </w:p>
          <w:p w:rsidR="00355E9F" w:rsidRPr="00D91B1A" w:rsidRDefault="00355E9F" w:rsidP="0075351F">
            <w:pPr>
              <w:pStyle w:val="Textkrper"/>
              <w:rPr>
                <w:rFonts w:ascii="Times New Roman" w:hAnsi="Times New Roman"/>
                <w:sz w:val="16"/>
                <w:szCs w:val="16"/>
              </w:rPr>
            </w:pPr>
            <w:r w:rsidRPr="00D91B1A">
              <w:rPr>
                <w:rFonts w:ascii="Times New Roman" w:hAnsi="Times New Roman"/>
                <w:sz w:val="16"/>
                <w:szCs w:val="16"/>
              </w:rPr>
              <w:t>Für die Transfusion von Thrombozytenkonzentraten sind von den Einrichtungen der Krankenversorgung Maßnahmen im Rahmen der Qualitätssicherung nach §</w:t>
            </w:r>
            <w:r w:rsidR="008B65F7" w:rsidRPr="000709B0">
              <w:rPr>
                <w:rFonts w:ascii="Times New Roman" w:hAnsi="Times New Roman"/>
                <w:sz w:val="16"/>
                <w:szCs w:val="16"/>
              </w:rPr>
              <w:t> </w:t>
            </w:r>
            <w:r w:rsidRPr="00D91B1A">
              <w:rPr>
                <w:rFonts w:ascii="Times New Roman" w:hAnsi="Times New Roman"/>
                <w:sz w:val="16"/>
                <w:szCs w:val="16"/>
              </w:rPr>
              <w:t>15 des Transfusionsgesetzes zu ergreifen. Dazu gehören u.a. detaillierte Anweisungen sowohl für die Indikationsstellung und Dosierung abhängig von Thrombozytenanzahl und -abfall bei unterschiedlichen Grunderkrankungen, Vorsorgemaßnahmen zur Erhaltung der Unversehrtheit der Konserve vor der Transfusion und Anweisungen zur Nachuntersuchung der Patienten für die Feststellung des Transfusionserfolges, eventuell gebildeter Antikörper und zu ergreifender Prophylaxe. Die Entscheidungskriterien für die Transfusion von Thrombozyten bei primären und sekundären Knochenmarkinsuffizienzen, aplastischer Anämie oder Myelodysplasie, disseminierter intravasaler Gerinnung, Patienten mit angeborenen Thrombozyto</w:t>
            </w:r>
            <w:r>
              <w:rPr>
                <w:rFonts w:ascii="Times New Roman" w:hAnsi="Times New Roman"/>
                <w:sz w:val="16"/>
                <w:szCs w:val="16"/>
              </w:rPr>
              <w:t>pathien/-penien, Autoimmunthrombo</w:t>
            </w:r>
            <w:r w:rsidRPr="00D91B1A">
              <w:rPr>
                <w:rFonts w:ascii="Times New Roman" w:hAnsi="Times New Roman"/>
                <w:sz w:val="16"/>
                <w:szCs w:val="16"/>
              </w:rPr>
              <w:t>zytopenien, fötaler bzw. Alloimmunthrombozytopenie, für die Auswahl der Präparate und deren Dosierung sowie die Überwachung der Anwendung sind im Rahmen einer patientenbezogenen Qualitätss</w:t>
            </w:r>
            <w:r>
              <w:rPr>
                <w:rFonts w:ascii="Times New Roman" w:hAnsi="Times New Roman"/>
                <w:sz w:val="16"/>
                <w:szCs w:val="16"/>
              </w:rPr>
              <w:t>icherung durch die transfusions</w:t>
            </w:r>
            <w:r w:rsidRPr="00D91B1A">
              <w:rPr>
                <w:rFonts w:ascii="Times New Roman" w:hAnsi="Times New Roman"/>
                <w:sz w:val="16"/>
                <w:szCs w:val="16"/>
              </w:rPr>
              <w:t>verantwortlichen Personen festzulegen.</w:t>
            </w:r>
          </w:p>
          <w:p w:rsidR="00355E9F" w:rsidRPr="00D91B1A" w:rsidRDefault="00355E9F" w:rsidP="0075351F">
            <w:pPr>
              <w:numPr>
                <w:ilvl w:val="12"/>
                <w:numId w:val="0"/>
              </w:numPr>
              <w:jc w:val="both"/>
              <w:rPr>
                <w:rFonts w:ascii="Times New Roman" w:hAnsi="Times New Roman"/>
                <w:sz w:val="16"/>
                <w:szCs w:val="16"/>
                <w:u w:val="single"/>
              </w:rPr>
            </w:pPr>
            <w:r w:rsidRPr="00D91B1A">
              <w:rPr>
                <w:rFonts w:ascii="Times New Roman" w:hAnsi="Times New Roman"/>
                <w:sz w:val="16"/>
                <w:szCs w:val="16"/>
                <w:u w:val="single"/>
              </w:rPr>
              <w:t>Besondere Vorsichtsmaßnahmen für die Beseitigung:</w:t>
            </w:r>
          </w:p>
          <w:p w:rsidR="00355E9F" w:rsidRPr="00D91B1A" w:rsidRDefault="00355E9F" w:rsidP="0075351F">
            <w:pPr>
              <w:pStyle w:val="Textkrper"/>
              <w:rPr>
                <w:rFonts w:ascii="Times New Roman" w:hAnsi="Times New Roman"/>
                <w:sz w:val="16"/>
                <w:szCs w:val="16"/>
              </w:rPr>
            </w:pPr>
            <w:r w:rsidRPr="00D91B1A">
              <w:rPr>
                <w:rFonts w:ascii="Times New Roman" w:hAnsi="Times New Roman"/>
                <w:sz w:val="16"/>
                <w:szCs w:val="16"/>
              </w:rPr>
              <w:t>Die ordnungsgemäße Entsorgung von angebrochenen bzw. nicht mehr verwend</w:t>
            </w:r>
            <w:r w:rsidRPr="00D91B1A">
              <w:rPr>
                <w:rFonts w:ascii="Times New Roman" w:hAnsi="Times New Roman"/>
                <w:sz w:val="16"/>
                <w:szCs w:val="16"/>
              </w:rPr>
              <w:softHyphen/>
              <w:t>baren Präparaten ist entsprechend den Vorga</w:t>
            </w:r>
            <w:r>
              <w:rPr>
                <w:rFonts w:ascii="Times New Roman" w:hAnsi="Times New Roman"/>
                <w:sz w:val="16"/>
                <w:szCs w:val="16"/>
              </w:rPr>
              <w:t>ben der Einrichtung der Kranken</w:t>
            </w:r>
            <w:r w:rsidRPr="00D91B1A">
              <w:rPr>
                <w:rFonts w:ascii="Times New Roman" w:hAnsi="Times New Roman"/>
                <w:sz w:val="16"/>
                <w:szCs w:val="16"/>
              </w:rPr>
              <w:t>versorgung sicherzustellen.</w:t>
            </w:r>
          </w:p>
          <w:p w:rsidR="00355E9F" w:rsidRPr="00D91B1A" w:rsidRDefault="00355E9F" w:rsidP="0075351F">
            <w:pPr>
              <w:jc w:val="both"/>
              <w:rPr>
                <w:rFonts w:ascii="Times New Roman" w:hAnsi="Times New Roman"/>
                <w:sz w:val="16"/>
                <w:szCs w:val="16"/>
              </w:rPr>
            </w:pPr>
            <w:r w:rsidRPr="00D91B1A">
              <w:rPr>
                <w:rFonts w:ascii="Times New Roman" w:hAnsi="Times New Roman"/>
                <w:sz w:val="16"/>
                <w:szCs w:val="16"/>
              </w:rPr>
              <w:t>Die jeweils aktuellen “</w:t>
            </w:r>
            <w:r w:rsidRPr="00D91B1A">
              <w:rPr>
                <w:rFonts w:ascii="Times New Roman" w:hAnsi="Times New Roman"/>
                <w:sz w:val="16"/>
                <w:szCs w:val="16"/>
                <w:lang w:val="de-CH"/>
              </w:rPr>
              <w:t>Richtlinien zur Gewinnung von Blut und Blutbestandteilen und zur Anwendung von Blutprodukten (Hämotherapie)</w:t>
            </w:r>
            <w:r w:rsidRPr="00D91B1A">
              <w:rPr>
                <w:rFonts w:ascii="Times New Roman" w:hAnsi="Times New Roman"/>
                <w:sz w:val="16"/>
                <w:szCs w:val="16"/>
              </w:rPr>
              <w:t>“ sowie gegebenenfalls ergänzende Veröffentlichungen der Bundesärztekammer und des Paul-Ehrlich-Instituts sind zu berücksichtigen.</w:t>
            </w:r>
          </w:p>
        </w:tc>
      </w:tr>
      <w:tr w:rsidR="00355E9F" w:rsidRPr="00792041" w:rsidTr="00772B21">
        <w:tc>
          <w:tcPr>
            <w:tcW w:w="496" w:type="dxa"/>
          </w:tcPr>
          <w:p w:rsidR="00355E9F" w:rsidRPr="00792041" w:rsidRDefault="00355E9F" w:rsidP="00772B21">
            <w:pPr>
              <w:jc w:val="both"/>
              <w:rPr>
                <w:rFonts w:ascii="Times New Roman" w:hAnsi="Times New Roman"/>
                <w:b/>
                <w:sz w:val="16"/>
                <w:szCs w:val="16"/>
              </w:rPr>
            </w:pPr>
            <w:r w:rsidRPr="00792041">
              <w:rPr>
                <w:rFonts w:ascii="Times New Roman" w:hAnsi="Times New Roman"/>
                <w:b/>
                <w:sz w:val="16"/>
                <w:szCs w:val="16"/>
              </w:rPr>
              <w:t>9.</w:t>
            </w:r>
          </w:p>
        </w:tc>
        <w:tc>
          <w:tcPr>
            <w:tcW w:w="9994" w:type="dxa"/>
            <w:gridSpan w:val="2"/>
          </w:tcPr>
          <w:p w:rsidR="00355E9F" w:rsidRPr="00D91B1A" w:rsidRDefault="00355E9F" w:rsidP="0075351F">
            <w:pPr>
              <w:jc w:val="both"/>
              <w:rPr>
                <w:rFonts w:ascii="Times New Roman" w:hAnsi="Times New Roman"/>
                <w:b/>
                <w:sz w:val="16"/>
                <w:szCs w:val="16"/>
              </w:rPr>
            </w:pPr>
            <w:r w:rsidRPr="00D91B1A">
              <w:rPr>
                <w:rFonts w:ascii="Times New Roman" w:hAnsi="Times New Roman"/>
                <w:b/>
                <w:sz w:val="16"/>
                <w:szCs w:val="16"/>
              </w:rPr>
              <w:t>Datum der letzten Überarbeitung</w:t>
            </w:r>
          </w:p>
          <w:p w:rsidR="00355E9F" w:rsidRPr="00D91B1A" w:rsidRDefault="00680DA5" w:rsidP="0075351F">
            <w:pPr>
              <w:jc w:val="both"/>
              <w:rPr>
                <w:rFonts w:ascii="Times New Roman" w:hAnsi="Times New Roman"/>
                <w:sz w:val="16"/>
                <w:szCs w:val="16"/>
              </w:rPr>
            </w:pPr>
            <w:r>
              <w:rPr>
                <w:rFonts w:ascii="Times New Roman" w:hAnsi="Times New Roman"/>
                <w:sz w:val="16"/>
                <w:szCs w:val="16"/>
              </w:rPr>
              <w:t>12</w:t>
            </w:r>
            <w:r w:rsidR="00355E9F" w:rsidRPr="00D91B1A">
              <w:rPr>
                <w:rFonts w:ascii="Times New Roman" w:hAnsi="Times New Roman"/>
                <w:sz w:val="16"/>
                <w:szCs w:val="16"/>
              </w:rPr>
              <w:t>.05.2021</w:t>
            </w:r>
          </w:p>
        </w:tc>
      </w:tr>
    </w:tbl>
    <w:p w:rsidR="009C50AF" w:rsidRPr="00792041" w:rsidRDefault="009C50AF" w:rsidP="00B9309A">
      <w:pPr>
        <w:ind w:right="284"/>
        <w:jc w:val="both"/>
        <w:rPr>
          <w:rFonts w:ascii="Times New Roman" w:hAnsi="Times New Roman"/>
          <w:sz w:val="4"/>
          <w:szCs w:val="16"/>
        </w:rPr>
      </w:pPr>
    </w:p>
    <w:sectPr w:rsidR="009C50AF" w:rsidRPr="00792041" w:rsidSect="00772B21">
      <w:headerReference w:type="default" r:id="rId7"/>
      <w:footerReference w:type="default" r:id="rId8"/>
      <w:pgSz w:w="11907" w:h="16840" w:code="9"/>
      <w:pgMar w:top="720" w:right="720" w:bottom="720" w:left="720" w:header="567" w:footer="6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1C" w:rsidRPr="003C6F71" w:rsidRDefault="00D9521C">
      <w:pPr>
        <w:rPr>
          <w:sz w:val="23"/>
          <w:szCs w:val="23"/>
        </w:rPr>
      </w:pPr>
      <w:r w:rsidRPr="003C6F71">
        <w:rPr>
          <w:sz w:val="23"/>
          <w:szCs w:val="23"/>
        </w:rPr>
        <w:separator/>
      </w:r>
    </w:p>
  </w:endnote>
  <w:endnote w:type="continuationSeparator" w:id="0">
    <w:p w:rsidR="00D9521C" w:rsidRPr="003C6F71" w:rsidRDefault="00D9521C">
      <w:pPr>
        <w:rPr>
          <w:sz w:val="23"/>
          <w:szCs w:val="23"/>
        </w:rPr>
      </w:pPr>
      <w:r w:rsidRPr="003C6F7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Device Font 10cpi"/>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D2" w:rsidRPr="007B50D4" w:rsidRDefault="00F77ED2" w:rsidP="00B9309A">
    <w:pPr>
      <w:pStyle w:val="Fuzeile"/>
      <w:pBdr>
        <w:top w:val="single" w:sz="4" w:space="1" w:color="auto"/>
      </w:pBdr>
      <w:tabs>
        <w:tab w:val="clear" w:pos="9072"/>
        <w:tab w:val="right" w:pos="10490"/>
      </w:tabs>
      <w:ind w:right="-1"/>
      <w:jc w:val="right"/>
      <w:rPr>
        <w:rFonts w:ascii="Times New Roman" w:hAnsi="Times New Roman"/>
        <w:sz w:val="15"/>
        <w:szCs w:val="16"/>
      </w:rPr>
    </w:pPr>
    <w:r w:rsidRPr="007B50D4">
      <w:rPr>
        <w:rFonts w:ascii="Times New Roman" w:hAnsi="Times New Roman"/>
        <w:sz w:val="15"/>
        <w:szCs w:val="16"/>
      </w:rPr>
      <w:t xml:space="preserve">Seite </w:t>
    </w:r>
    <w:r w:rsidRPr="007B50D4">
      <w:rPr>
        <w:rFonts w:ascii="Times New Roman" w:hAnsi="Times New Roman"/>
        <w:sz w:val="15"/>
        <w:szCs w:val="16"/>
      </w:rPr>
      <w:fldChar w:fldCharType="begin"/>
    </w:r>
    <w:r w:rsidRPr="007B50D4">
      <w:rPr>
        <w:rFonts w:ascii="Times New Roman" w:hAnsi="Times New Roman"/>
        <w:sz w:val="15"/>
        <w:szCs w:val="16"/>
      </w:rPr>
      <w:instrText xml:space="preserve"> PAGE </w:instrText>
    </w:r>
    <w:r w:rsidRPr="007B50D4">
      <w:rPr>
        <w:rFonts w:ascii="Times New Roman" w:hAnsi="Times New Roman"/>
        <w:sz w:val="15"/>
        <w:szCs w:val="16"/>
      </w:rPr>
      <w:fldChar w:fldCharType="separate"/>
    </w:r>
    <w:r w:rsidR="00C00B39">
      <w:rPr>
        <w:rFonts w:ascii="Times New Roman" w:hAnsi="Times New Roman"/>
        <w:noProof/>
        <w:sz w:val="15"/>
        <w:szCs w:val="16"/>
      </w:rPr>
      <w:t>1</w:t>
    </w:r>
    <w:r w:rsidRPr="007B50D4">
      <w:rPr>
        <w:rFonts w:ascii="Times New Roman" w:hAnsi="Times New Roman"/>
        <w:sz w:val="15"/>
        <w:szCs w:val="16"/>
      </w:rPr>
      <w:fldChar w:fldCharType="end"/>
    </w:r>
    <w:r w:rsidRPr="007B50D4">
      <w:rPr>
        <w:rFonts w:ascii="Times New Roman" w:hAnsi="Times New Roman"/>
        <w:sz w:val="15"/>
        <w:szCs w:val="16"/>
      </w:rPr>
      <w:t xml:space="preserve"> von </w:t>
    </w:r>
    <w:r w:rsidRPr="007B50D4">
      <w:rPr>
        <w:rFonts w:ascii="Times New Roman" w:hAnsi="Times New Roman"/>
        <w:sz w:val="15"/>
        <w:szCs w:val="16"/>
      </w:rPr>
      <w:fldChar w:fldCharType="begin"/>
    </w:r>
    <w:r w:rsidRPr="007B50D4">
      <w:rPr>
        <w:rFonts w:ascii="Times New Roman" w:hAnsi="Times New Roman"/>
        <w:sz w:val="15"/>
        <w:szCs w:val="16"/>
      </w:rPr>
      <w:instrText xml:space="preserve"> NUMPAGES </w:instrText>
    </w:r>
    <w:r w:rsidRPr="007B50D4">
      <w:rPr>
        <w:rFonts w:ascii="Times New Roman" w:hAnsi="Times New Roman"/>
        <w:sz w:val="15"/>
        <w:szCs w:val="16"/>
      </w:rPr>
      <w:fldChar w:fldCharType="separate"/>
    </w:r>
    <w:r w:rsidR="00C00B39">
      <w:rPr>
        <w:rFonts w:ascii="Times New Roman" w:hAnsi="Times New Roman"/>
        <w:noProof/>
        <w:sz w:val="15"/>
        <w:szCs w:val="16"/>
      </w:rPr>
      <w:t>3</w:t>
    </w:r>
    <w:r w:rsidRPr="007B50D4">
      <w:rPr>
        <w:rFonts w:ascii="Times New Roman" w:hAnsi="Times New Roman"/>
        <w:sz w:val="15"/>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1C" w:rsidRPr="003C6F71" w:rsidRDefault="00D9521C">
      <w:pPr>
        <w:rPr>
          <w:sz w:val="23"/>
          <w:szCs w:val="23"/>
        </w:rPr>
      </w:pPr>
      <w:r w:rsidRPr="003C6F71">
        <w:rPr>
          <w:sz w:val="23"/>
          <w:szCs w:val="23"/>
        </w:rPr>
        <w:separator/>
      </w:r>
    </w:p>
  </w:footnote>
  <w:footnote w:type="continuationSeparator" w:id="0">
    <w:p w:rsidR="00D9521C" w:rsidRPr="003C6F71" w:rsidRDefault="00D9521C">
      <w:pPr>
        <w:rPr>
          <w:sz w:val="23"/>
          <w:szCs w:val="23"/>
        </w:rPr>
      </w:pPr>
      <w:r w:rsidRPr="003C6F71">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0"/>
      <w:gridCol w:w="2430"/>
    </w:tblGrid>
    <w:tr w:rsidR="00792041" w:rsidRPr="00A22B14" w:rsidTr="00C272ED">
      <w:trPr>
        <w:trHeight w:val="20"/>
      </w:trPr>
      <w:tc>
        <w:tcPr>
          <w:tcW w:w="10490" w:type="dxa"/>
          <w:gridSpan w:val="2"/>
          <w:vAlign w:val="center"/>
        </w:tcPr>
        <w:p w:rsidR="00792041" w:rsidRDefault="00792041" w:rsidP="00C272ED">
          <w:pPr>
            <w:pStyle w:val="Kopfzeile"/>
            <w:rPr>
              <w:rFonts w:ascii="Times New Roman" w:hAnsi="Times New Roman"/>
              <w:sz w:val="16"/>
              <w:szCs w:val="16"/>
            </w:rPr>
          </w:pPr>
          <w:r w:rsidRPr="00A22B14">
            <w:rPr>
              <w:rFonts w:ascii="Times New Roman" w:hAnsi="Times New Roman"/>
              <w:sz w:val="16"/>
              <w:szCs w:val="16"/>
            </w:rPr>
            <w:t>Universitätsklinikum Freiburg</w:t>
          </w:r>
        </w:p>
        <w:p w:rsidR="00792041" w:rsidRPr="00A22B14" w:rsidRDefault="00792041" w:rsidP="00C272ED">
          <w:pPr>
            <w:pStyle w:val="Kopfzeile"/>
            <w:rPr>
              <w:rFonts w:ascii="Times New Roman" w:hAnsi="Times New Roman"/>
              <w:sz w:val="16"/>
              <w:szCs w:val="16"/>
            </w:rPr>
          </w:pPr>
          <w:r w:rsidRPr="00A22B14">
            <w:rPr>
              <w:rFonts w:ascii="Times New Roman" w:hAnsi="Times New Roman"/>
              <w:sz w:val="16"/>
              <w:szCs w:val="16"/>
            </w:rPr>
            <w:t>Institut für Transfusionsmedizin und Gentherapie</w:t>
          </w:r>
        </w:p>
      </w:tc>
    </w:tr>
    <w:tr w:rsidR="00792041" w:rsidRPr="00A22B14" w:rsidTr="00C272ED">
      <w:trPr>
        <w:trHeight w:val="20"/>
      </w:trPr>
      <w:tc>
        <w:tcPr>
          <w:tcW w:w="10490" w:type="dxa"/>
          <w:gridSpan w:val="2"/>
          <w:vAlign w:val="bottom"/>
        </w:tcPr>
        <w:p w:rsidR="00792041" w:rsidRPr="00A22B14" w:rsidRDefault="00792041" w:rsidP="00C272ED">
          <w:pPr>
            <w:pStyle w:val="Kopfzeile"/>
            <w:jc w:val="center"/>
            <w:rPr>
              <w:rFonts w:ascii="Times New Roman" w:hAnsi="Times New Roman"/>
              <w:b/>
              <w:sz w:val="16"/>
              <w:szCs w:val="16"/>
            </w:rPr>
          </w:pPr>
          <w:r>
            <w:rPr>
              <w:rFonts w:ascii="Times New Roman" w:hAnsi="Times New Roman"/>
              <w:b/>
              <w:szCs w:val="24"/>
            </w:rPr>
            <w:t>Gebrauchs- und Fachinformation</w:t>
          </w:r>
        </w:p>
      </w:tc>
    </w:tr>
    <w:tr w:rsidR="00355E9F" w:rsidRPr="00A22B14" w:rsidTr="00C272ED">
      <w:trPr>
        <w:trHeight w:val="20"/>
      </w:trPr>
      <w:tc>
        <w:tcPr>
          <w:tcW w:w="8060" w:type="dxa"/>
          <w:vAlign w:val="bottom"/>
        </w:tcPr>
        <w:p w:rsidR="00355E9F" w:rsidRPr="00A22B14" w:rsidRDefault="00C00B39" w:rsidP="0075351F">
          <w:pPr>
            <w:pStyle w:val="Kopfzeile"/>
            <w:rPr>
              <w:rFonts w:ascii="Times New Roman" w:hAnsi="Times New Roman"/>
              <w:b/>
              <w:sz w:val="20"/>
            </w:rPr>
          </w:pPr>
          <w:r>
            <w:rPr>
              <w:rFonts w:ascii="Times New Roman" w:hAnsi="Times New Roman"/>
              <w:b/>
              <w:sz w:val="20"/>
            </w:rPr>
            <w:t>Thrombozytapherese</w:t>
          </w:r>
          <w:r w:rsidR="00355E9F">
            <w:rPr>
              <w:rFonts w:ascii="Times New Roman" w:hAnsi="Times New Roman"/>
              <w:b/>
              <w:sz w:val="20"/>
            </w:rPr>
            <w:t>konzentrat U-FR, leukozytendepletiert, bestrahlt</w:t>
          </w:r>
        </w:p>
      </w:tc>
      <w:tc>
        <w:tcPr>
          <w:tcW w:w="2430" w:type="dxa"/>
          <w:vAlign w:val="bottom"/>
        </w:tcPr>
        <w:p w:rsidR="00355E9F" w:rsidRPr="00A22B14" w:rsidRDefault="00355E9F" w:rsidP="00C272ED">
          <w:pPr>
            <w:pStyle w:val="Kopfzeile"/>
            <w:jc w:val="right"/>
            <w:rPr>
              <w:rFonts w:ascii="Times New Roman" w:hAnsi="Times New Roman"/>
              <w:sz w:val="20"/>
              <w:szCs w:val="24"/>
            </w:rPr>
          </w:pPr>
          <w:r w:rsidRPr="00A22B14">
            <w:rPr>
              <w:rFonts w:ascii="Times New Roman" w:hAnsi="Times New Roman"/>
              <w:b/>
              <w:sz w:val="20"/>
            </w:rPr>
            <w:t>PEI.H.0</w:t>
          </w:r>
          <w:r>
            <w:rPr>
              <w:rFonts w:ascii="Times New Roman" w:hAnsi="Times New Roman"/>
              <w:b/>
              <w:sz w:val="20"/>
            </w:rPr>
            <w:t>1348</w:t>
          </w:r>
          <w:r w:rsidRPr="00A22B14">
            <w:rPr>
              <w:rFonts w:ascii="Times New Roman" w:hAnsi="Times New Roman"/>
              <w:b/>
              <w:sz w:val="20"/>
            </w:rPr>
            <w:t>.01.1</w:t>
          </w:r>
        </w:p>
      </w:tc>
    </w:tr>
  </w:tbl>
  <w:p w:rsidR="00F77ED2" w:rsidRPr="00792041" w:rsidRDefault="00F77ED2" w:rsidP="00BA68A0">
    <w:pPr>
      <w:pStyle w:val="Kopfzeile"/>
      <w:tabs>
        <w:tab w:val="clear" w:pos="9072"/>
        <w:tab w:val="right" w:pos="9923"/>
      </w:tabs>
      <w:ind w:right="-1"/>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642B68"/>
    <w:multiLevelType w:val="hybridMultilevel"/>
    <w:tmpl w:val="E8E2DD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3F6EE9"/>
    <w:multiLevelType w:val="hybridMultilevel"/>
    <w:tmpl w:val="1AA466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EF5277"/>
    <w:multiLevelType w:val="hybridMultilevel"/>
    <w:tmpl w:val="2D50AE1A"/>
    <w:lvl w:ilvl="0" w:tplc="00000003">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8897AB6"/>
    <w:multiLevelType w:val="hybridMultilevel"/>
    <w:tmpl w:val="1BFC171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C5D2EE7"/>
    <w:multiLevelType w:val="hybridMultilevel"/>
    <w:tmpl w:val="D6D08052"/>
    <w:lvl w:ilvl="0" w:tplc="2200C0AA">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AF"/>
    <w:rsid w:val="00003311"/>
    <w:rsid w:val="00012FD0"/>
    <w:rsid w:val="0005241F"/>
    <w:rsid w:val="00090D4A"/>
    <w:rsid w:val="000D4082"/>
    <w:rsid w:val="0017504C"/>
    <w:rsid w:val="0017541B"/>
    <w:rsid w:val="001760F9"/>
    <w:rsid w:val="00184C73"/>
    <w:rsid w:val="001A0C08"/>
    <w:rsid w:val="001C4FB4"/>
    <w:rsid w:val="001E3ED3"/>
    <w:rsid w:val="001E6EE0"/>
    <w:rsid w:val="001F6F30"/>
    <w:rsid w:val="00211262"/>
    <w:rsid w:val="00224809"/>
    <w:rsid w:val="00235DB4"/>
    <w:rsid w:val="002558A6"/>
    <w:rsid w:val="0028082A"/>
    <w:rsid w:val="00281E30"/>
    <w:rsid w:val="00284422"/>
    <w:rsid w:val="002A185B"/>
    <w:rsid w:val="002A617F"/>
    <w:rsid w:val="002C4D84"/>
    <w:rsid w:val="002D56D1"/>
    <w:rsid w:val="002E275F"/>
    <w:rsid w:val="00306153"/>
    <w:rsid w:val="0031338B"/>
    <w:rsid w:val="00332FB9"/>
    <w:rsid w:val="003446D3"/>
    <w:rsid w:val="00351EE4"/>
    <w:rsid w:val="00353038"/>
    <w:rsid w:val="00355E9F"/>
    <w:rsid w:val="00365AF5"/>
    <w:rsid w:val="00371A64"/>
    <w:rsid w:val="003A33F0"/>
    <w:rsid w:val="003B46B2"/>
    <w:rsid w:val="003C6F71"/>
    <w:rsid w:val="003D7EA0"/>
    <w:rsid w:val="003E1A94"/>
    <w:rsid w:val="003E246D"/>
    <w:rsid w:val="00402CB8"/>
    <w:rsid w:val="00411AA9"/>
    <w:rsid w:val="004361CF"/>
    <w:rsid w:val="00490BE8"/>
    <w:rsid w:val="004A5660"/>
    <w:rsid w:val="004D6BBC"/>
    <w:rsid w:val="004D6CFF"/>
    <w:rsid w:val="004F7533"/>
    <w:rsid w:val="00544AD2"/>
    <w:rsid w:val="00557F36"/>
    <w:rsid w:val="00575874"/>
    <w:rsid w:val="005C0825"/>
    <w:rsid w:val="00614F3A"/>
    <w:rsid w:val="00617863"/>
    <w:rsid w:val="00645BBA"/>
    <w:rsid w:val="006466C7"/>
    <w:rsid w:val="00673E3A"/>
    <w:rsid w:val="00675347"/>
    <w:rsid w:val="00680DA5"/>
    <w:rsid w:val="00696845"/>
    <w:rsid w:val="006B3EC5"/>
    <w:rsid w:val="006C0016"/>
    <w:rsid w:val="006C297D"/>
    <w:rsid w:val="006D1FA3"/>
    <w:rsid w:val="00735A02"/>
    <w:rsid w:val="00761A22"/>
    <w:rsid w:val="00772B21"/>
    <w:rsid w:val="007811FD"/>
    <w:rsid w:val="00792041"/>
    <w:rsid w:val="00796DB9"/>
    <w:rsid w:val="007A5157"/>
    <w:rsid w:val="007B2780"/>
    <w:rsid w:val="007B50D4"/>
    <w:rsid w:val="007D294E"/>
    <w:rsid w:val="007E09DC"/>
    <w:rsid w:val="007F5085"/>
    <w:rsid w:val="007F7E55"/>
    <w:rsid w:val="0080102B"/>
    <w:rsid w:val="008016C1"/>
    <w:rsid w:val="0088211F"/>
    <w:rsid w:val="00895FB4"/>
    <w:rsid w:val="008B65F7"/>
    <w:rsid w:val="008C44C1"/>
    <w:rsid w:val="008C5CB0"/>
    <w:rsid w:val="008E5515"/>
    <w:rsid w:val="00914D0C"/>
    <w:rsid w:val="00957EEF"/>
    <w:rsid w:val="00991907"/>
    <w:rsid w:val="009C50AF"/>
    <w:rsid w:val="00A05736"/>
    <w:rsid w:val="00A22B14"/>
    <w:rsid w:val="00A30704"/>
    <w:rsid w:val="00A40263"/>
    <w:rsid w:val="00A83F36"/>
    <w:rsid w:val="00A85A1D"/>
    <w:rsid w:val="00A97E4A"/>
    <w:rsid w:val="00AA41A1"/>
    <w:rsid w:val="00AD14A5"/>
    <w:rsid w:val="00AF6734"/>
    <w:rsid w:val="00B3571E"/>
    <w:rsid w:val="00B421A2"/>
    <w:rsid w:val="00B4397D"/>
    <w:rsid w:val="00B77AD0"/>
    <w:rsid w:val="00B84785"/>
    <w:rsid w:val="00B90B56"/>
    <w:rsid w:val="00B9309A"/>
    <w:rsid w:val="00BA3006"/>
    <w:rsid w:val="00BA68A0"/>
    <w:rsid w:val="00BE07D0"/>
    <w:rsid w:val="00C00B39"/>
    <w:rsid w:val="00C02AA9"/>
    <w:rsid w:val="00C15B54"/>
    <w:rsid w:val="00C4355D"/>
    <w:rsid w:val="00C4593E"/>
    <w:rsid w:val="00C63865"/>
    <w:rsid w:val="00C63F52"/>
    <w:rsid w:val="00C83768"/>
    <w:rsid w:val="00C90FF3"/>
    <w:rsid w:val="00CB0F10"/>
    <w:rsid w:val="00CB405E"/>
    <w:rsid w:val="00CB52DA"/>
    <w:rsid w:val="00CD229B"/>
    <w:rsid w:val="00D22384"/>
    <w:rsid w:val="00D303A3"/>
    <w:rsid w:val="00D9521C"/>
    <w:rsid w:val="00DE032D"/>
    <w:rsid w:val="00E10F0E"/>
    <w:rsid w:val="00E133B7"/>
    <w:rsid w:val="00E35D70"/>
    <w:rsid w:val="00E3778C"/>
    <w:rsid w:val="00E44BDA"/>
    <w:rsid w:val="00E525D6"/>
    <w:rsid w:val="00E54F56"/>
    <w:rsid w:val="00E6551A"/>
    <w:rsid w:val="00E66E66"/>
    <w:rsid w:val="00E92B46"/>
    <w:rsid w:val="00E97016"/>
    <w:rsid w:val="00EB22AC"/>
    <w:rsid w:val="00ED34F6"/>
    <w:rsid w:val="00ED69D5"/>
    <w:rsid w:val="00EF1334"/>
    <w:rsid w:val="00EF3024"/>
    <w:rsid w:val="00F12105"/>
    <w:rsid w:val="00F151C9"/>
    <w:rsid w:val="00F311F7"/>
    <w:rsid w:val="00F5249B"/>
    <w:rsid w:val="00F75104"/>
    <w:rsid w:val="00F77ED2"/>
    <w:rsid w:val="00FB6D85"/>
    <w:rsid w:val="00FE2168"/>
    <w:rsid w:val="00FE66A9"/>
    <w:rsid w:val="00FF03AC"/>
    <w:rsid w:val="00FF19F2"/>
    <w:rsid w:val="00FF2D7A"/>
    <w:rsid w:val="00FF7E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6625"/>
    <o:shapelayout v:ext="edit">
      <o:idmap v:ext="edit" data="1"/>
    </o:shapelayout>
  </w:shapeDefaults>
  <w:decimalSymbol w:val=","/>
  <w:listSeparator w:val=";"/>
  <w14:docId w14:val="44FB0C79"/>
  <w15:docId w15:val="{F17BAC18-58EC-4B23-8E49-5E8E98FB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67"/>
        <w:tab w:val="left" w:pos="1134"/>
        <w:tab w:val="left" w:pos="2268"/>
        <w:tab w:val="left" w:pos="3402"/>
        <w:tab w:val="left" w:pos="4536"/>
        <w:tab w:val="left" w:pos="5670"/>
        <w:tab w:val="left" w:pos="6804"/>
        <w:tab w:val="left" w:pos="7938"/>
      </w:tabs>
    </w:pPr>
    <w:rPr>
      <w:rFonts w:ascii="Arial" w:hAnsi="Arial"/>
      <w:sz w:val="24"/>
    </w:rPr>
  </w:style>
  <w:style w:type="paragraph" w:styleId="berschrift1">
    <w:name w:val="heading 1"/>
    <w:basedOn w:val="Standard"/>
    <w:next w:val="Standard"/>
    <w:qFormat/>
    <w:pPr>
      <w:keepNext/>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lear" w:pos="567"/>
        <w:tab w:val="clear" w:pos="1134"/>
        <w:tab w:val="clear" w:pos="2268"/>
        <w:tab w:val="clear" w:pos="3402"/>
        <w:tab w:val="clear" w:pos="5670"/>
        <w:tab w:val="clear" w:pos="6804"/>
        <w:tab w:val="clear" w:pos="7938"/>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pPr>
      <w:tabs>
        <w:tab w:val="clear" w:pos="567"/>
        <w:tab w:val="clear" w:pos="1134"/>
        <w:tab w:val="clear" w:pos="2268"/>
        <w:tab w:val="clear" w:pos="3402"/>
        <w:tab w:val="clear" w:pos="5670"/>
        <w:tab w:val="clear" w:pos="6804"/>
        <w:tab w:val="clear" w:pos="7938"/>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
    <w:name w:val="Body Text"/>
    <w:basedOn w:val="Standard"/>
    <w:link w:val="TextkrperZchn"/>
    <w:pPr>
      <w:jc w:val="both"/>
    </w:pPr>
  </w:style>
  <w:style w:type="paragraph" w:styleId="Textkrper-Einzug2">
    <w:name w:val="Body Text Indent 2"/>
    <w:basedOn w:val="Standard"/>
    <w:rsid w:val="00235DB4"/>
    <w:pPr>
      <w:spacing w:after="120" w:line="480" w:lineRule="auto"/>
      <w:ind w:left="283"/>
    </w:pPr>
    <w:rPr>
      <w:rFonts w:cs="Arial"/>
      <w:szCs w:val="24"/>
    </w:rPr>
  </w:style>
  <w:style w:type="table" w:styleId="Tabellenraster">
    <w:name w:val="Table Grid"/>
    <w:basedOn w:val="NormaleTabelle"/>
    <w:uiPriority w:val="59"/>
    <w:rsid w:val="00BA68A0"/>
    <w:pPr>
      <w:tabs>
        <w:tab w:val="left" w:pos="567"/>
        <w:tab w:val="left" w:pos="1134"/>
        <w:tab w:val="left" w:pos="2268"/>
        <w:tab w:val="left" w:pos="3402"/>
        <w:tab w:val="left" w:pos="4536"/>
        <w:tab w:val="left" w:pos="5670"/>
        <w:tab w:val="left" w:pos="6804"/>
        <w:tab w:val="left" w:pos="793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link w:val="Textkrper"/>
    <w:rsid w:val="00544AD2"/>
    <w:rPr>
      <w:rFonts w:ascii="Arial" w:hAnsi="Arial"/>
      <w:sz w:val="24"/>
    </w:rPr>
  </w:style>
  <w:style w:type="character" w:customStyle="1" w:styleId="KopfzeileZchn">
    <w:name w:val="Kopfzeile Zchn"/>
    <w:basedOn w:val="Absatz-Standardschriftart"/>
    <w:link w:val="Kopfzeile"/>
    <w:rsid w:val="00A22B14"/>
    <w:rPr>
      <w:rFonts w:ascii="Arial" w:hAnsi="Arial"/>
      <w:sz w:val="24"/>
    </w:rPr>
  </w:style>
  <w:style w:type="paragraph" w:styleId="Listenabsatz">
    <w:name w:val="List Paragraph"/>
    <w:basedOn w:val="Standard"/>
    <w:uiPriority w:val="34"/>
    <w:qFormat/>
    <w:rsid w:val="008B6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2189</Words>
  <Characters>13794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Vorschlag:Mustergebrauchs-und Fachinfo</vt:lpstr>
    </vt:vector>
  </TitlesOfParts>
  <Company>Uniklinikum Freiburg</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Vorschlag:Mustergebrauchs-und Fachinfo</dc:title>
  <dc:subject>GFP</dc:subject>
  <dc:creator>PEI-BENUTZER</dc:creator>
  <cp:lastModifiedBy>Judith Eva Rechler</cp:lastModifiedBy>
  <cp:revision>9</cp:revision>
  <cp:lastPrinted>2021-04-07T10:59:00Z</cp:lastPrinted>
  <dcterms:created xsi:type="dcterms:W3CDTF">2021-05-04T13:13:00Z</dcterms:created>
  <dcterms:modified xsi:type="dcterms:W3CDTF">2021-07-26T08:54:00Z</dcterms:modified>
</cp:coreProperties>
</file>